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3E" w:rsidRPr="005F138D" w:rsidRDefault="00F6593E" w:rsidP="00F6593E">
      <w:pPr>
        <w:rPr>
          <w:rFonts w:ascii="Times New Roman" w:hAnsi="Times New Roman"/>
          <w:b/>
          <w:sz w:val="24"/>
          <w:szCs w:val="24"/>
        </w:rPr>
      </w:pPr>
      <w:r w:rsidRPr="005F138D">
        <w:rPr>
          <w:rFonts w:ascii="Times New Roman" w:hAnsi="Times New Roman"/>
          <w:b/>
          <w:sz w:val="24"/>
          <w:szCs w:val="24"/>
        </w:rPr>
        <w:t>V</w:t>
      </w:r>
      <w:r w:rsidR="00994FFE">
        <w:rPr>
          <w:rFonts w:ascii="Times New Roman" w:hAnsi="Times New Roman"/>
          <w:b/>
          <w:sz w:val="24"/>
          <w:szCs w:val="24"/>
        </w:rPr>
        <w:t>CR</w:t>
      </w:r>
      <w:r w:rsidRPr="005F138D">
        <w:rPr>
          <w:rFonts w:ascii="Times New Roman" w:hAnsi="Times New Roman"/>
          <w:b/>
          <w:sz w:val="24"/>
          <w:szCs w:val="24"/>
        </w:rPr>
        <w:t xml:space="preserve">: Board Resolution </w:t>
      </w:r>
      <w:bookmarkStart w:id="0" w:name="_GoBack"/>
      <w:bookmarkEnd w:id="0"/>
    </w:p>
    <w:p w:rsidR="00F6593E" w:rsidRPr="005F138D" w:rsidRDefault="00994FFE" w:rsidP="00F6593E">
      <w:pPr>
        <w:rPr>
          <w:rFonts w:ascii="Times New Roman" w:hAnsi="Times New Roman"/>
          <w:sz w:val="24"/>
          <w:szCs w:val="24"/>
        </w:rPr>
      </w:pPr>
      <w:r>
        <w:rPr>
          <w:rFonts w:ascii="Times New Roman" w:hAnsi="Times New Roman"/>
          <w:sz w:val="24"/>
          <w:szCs w:val="24"/>
        </w:rPr>
        <w:t>On 14</w:t>
      </w:r>
      <w:r w:rsidR="00F6593E" w:rsidRPr="005F138D">
        <w:rPr>
          <w:rFonts w:ascii="Times New Roman" w:hAnsi="Times New Roman"/>
          <w:sz w:val="24"/>
          <w:szCs w:val="24"/>
        </w:rPr>
        <w:t xml:space="preserve"> </w:t>
      </w:r>
      <w:r>
        <w:rPr>
          <w:rFonts w:ascii="Times New Roman" w:hAnsi="Times New Roman"/>
          <w:sz w:val="24"/>
          <w:szCs w:val="24"/>
        </w:rPr>
        <w:t>Oct</w:t>
      </w:r>
      <w:r w:rsidR="00F6593E" w:rsidRPr="005F138D">
        <w:rPr>
          <w:rFonts w:ascii="Times New Roman" w:hAnsi="Times New Roman"/>
          <w:sz w:val="24"/>
          <w:szCs w:val="24"/>
        </w:rPr>
        <w:t xml:space="preserve"> 2020, </w:t>
      </w:r>
      <w:proofErr w:type="spellStart"/>
      <w:r>
        <w:rPr>
          <w:rFonts w:ascii="MyriadPro-Cond" w:hAnsi="MyriadPro-Cond"/>
          <w:color w:val="292929"/>
          <w:shd w:val="clear" w:color="auto" w:fill="FCFCFC"/>
        </w:rPr>
        <w:t>Vinaconex</w:t>
      </w:r>
      <w:proofErr w:type="spellEnd"/>
      <w:r>
        <w:rPr>
          <w:rFonts w:ascii="MyriadPro-Cond" w:hAnsi="MyriadPro-Cond"/>
          <w:color w:val="292929"/>
          <w:shd w:val="clear" w:color="auto" w:fill="FCFCFC"/>
        </w:rPr>
        <w:t xml:space="preserve"> Investment and Tourism Development Joint Stock Company</w:t>
      </w:r>
      <w:r w:rsidR="00F6593E" w:rsidRPr="005F138D">
        <w:rPr>
          <w:rFonts w:ascii="Times New Roman" w:hAnsi="Times New Roman"/>
          <w:sz w:val="24"/>
          <w:szCs w:val="24"/>
        </w:rPr>
        <w:t xml:space="preserve"> announced the Board Resolution No.</w:t>
      </w:r>
      <w:r>
        <w:rPr>
          <w:rFonts w:ascii="Times New Roman" w:hAnsi="Times New Roman"/>
          <w:sz w:val="24"/>
          <w:szCs w:val="24"/>
        </w:rPr>
        <w:t>11/2020</w:t>
      </w:r>
      <w:r w:rsidR="00F6593E" w:rsidRPr="005F138D">
        <w:rPr>
          <w:rFonts w:ascii="Times New Roman" w:hAnsi="Times New Roman"/>
          <w:sz w:val="24"/>
          <w:szCs w:val="24"/>
        </w:rPr>
        <w:t>/NQ- HDQT as follows:</w:t>
      </w:r>
    </w:p>
    <w:p w:rsidR="00F6593E" w:rsidRPr="005F138D" w:rsidRDefault="00F6593E" w:rsidP="00F6593E">
      <w:pPr>
        <w:rPr>
          <w:rFonts w:ascii="Times New Roman" w:hAnsi="Times New Roman"/>
          <w:sz w:val="24"/>
          <w:szCs w:val="24"/>
        </w:rPr>
      </w:pPr>
      <w:r w:rsidRPr="005F138D">
        <w:rPr>
          <w:rFonts w:ascii="Times New Roman" w:hAnsi="Times New Roman"/>
          <w:sz w:val="24"/>
          <w:szCs w:val="24"/>
        </w:rPr>
        <w:t>Article 1: Approve the implementation of</w:t>
      </w:r>
      <w:r w:rsidR="00994FFE">
        <w:rPr>
          <w:rFonts w:ascii="Times New Roman" w:hAnsi="Times New Roman"/>
          <w:sz w:val="24"/>
          <w:szCs w:val="24"/>
        </w:rPr>
        <w:t xml:space="preserve"> the plan on private placement which was approved</w:t>
      </w:r>
      <w:r w:rsidRPr="005F138D">
        <w:rPr>
          <w:rFonts w:ascii="Times New Roman" w:hAnsi="Times New Roman"/>
          <w:sz w:val="24"/>
          <w:szCs w:val="24"/>
        </w:rPr>
        <w:t xml:space="preserve"> </w:t>
      </w:r>
      <w:r w:rsidR="00994FFE">
        <w:rPr>
          <w:rFonts w:ascii="Times New Roman" w:hAnsi="Times New Roman"/>
          <w:sz w:val="24"/>
          <w:szCs w:val="24"/>
        </w:rPr>
        <w:t xml:space="preserve">by Annual General meeting of Shareholders according to Resolution No. 02/2019/NQ-VITC-DHDCD dated 04 November 2019; Resolution No.01/2020/NQ-VITC-DHDCD dated 30 March </w:t>
      </w:r>
      <w:proofErr w:type="gramStart"/>
      <w:r w:rsidR="00994FFE">
        <w:rPr>
          <w:rFonts w:ascii="Times New Roman" w:hAnsi="Times New Roman"/>
          <w:sz w:val="24"/>
          <w:szCs w:val="24"/>
        </w:rPr>
        <w:t>2020</w:t>
      </w:r>
      <w:proofErr w:type="gramEnd"/>
      <w:r w:rsidR="00994FFE">
        <w:rPr>
          <w:rFonts w:ascii="Times New Roman" w:hAnsi="Times New Roman"/>
          <w:sz w:val="24"/>
          <w:szCs w:val="24"/>
        </w:rPr>
        <w:t xml:space="preserve"> and the authorization of </w:t>
      </w:r>
      <w:r w:rsidR="00994FFE">
        <w:rPr>
          <w:rFonts w:ascii="Times New Roman" w:hAnsi="Times New Roman"/>
          <w:sz w:val="24"/>
          <w:szCs w:val="24"/>
        </w:rPr>
        <w:t>Annual General meeting of Shareholders</w:t>
      </w:r>
      <w:r w:rsidRPr="005F138D">
        <w:rPr>
          <w:rFonts w:ascii="Times New Roman" w:hAnsi="Times New Roman"/>
          <w:sz w:val="24"/>
          <w:szCs w:val="24"/>
        </w:rPr>
        <w:t>, as follows: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F6593E" w:rsidRPr="005F138D" w:rsidTr="009F063E">
        <w:tc>
          <w:tcPr>
            <w:tcW w:w="4248"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Name of the issuer</w:t>
            </w:r>
          </w:p>
        </w:tc>
        <w:tc>
          <w:tcPr>
            <w:tcW w:w="4819" w:type="dxa"/>
          </w:tcPr>
          <w:p w:rsidR="00F6593E" w:rsidRPr="005F138D" w:rsidRDefault="00994FFE" w:rsidP="00F6593E">
            <w:pPr>
              <w:rPr>
                <w:rFonts w:ascii="Times New Roman" w:hAnsi="Times New Roman"/>
                <w:sz w:val="24"/>
                <w:szCs w:val="24"/>
              </w:rPr>
            </w:pPr>
            <w:proofErr w:type="spellStart"/>
            <w:r>
              <w:rPr>
                <w:rFonts w:ascii="MyriadPro-Cond" w:hAnsi="MyriadPro-Cond"/>
                <w:color w:val="292929"/>
                <w:shd w:val="clear" w:color="auto" w:fill="FCFCFC"/>
              </w:rPr>
              <w:t>Vinaconex</w:t>
            </w:r>
            <w:proofErr w:type="spellEnd"/>
            <w:r>
              <w:rPr>
                <w:rFonts w:ascii="MyriadPro-Cond" w:hAnsi="MyriadPro-Cond"/>
                <w:color w:val="292929"/>
                <w:shd w:val="clear" w:color="auto" w:fill="FCFCFC"/>
              </w:rPr>
              <w:t xml:space="preserve"> Investment and Tourism Development Joint Stock Company</w:t>
            </w:r>
          </w:p>
        </w:tc>
      </w:tr>
      <w:tr w:rsidR="00F6593E" w:rsidRPr="005F138D" w:rsidTr="009F063E">
        <w:tc>
          <w:tcPr>
            <w:tcW w:w="4248"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Type of share</w:t>
            </w:r>
          </w:p>
        </w:tc>
        <w:tc>
          <w:tcPr>
            <w:tcW w:w="4819"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Common</w:t>
            </w:r>
          </w:p>
        </w:tc>
      </w:tr>
      <w:tr w:rsidR="00F6593E" w:rsidRPr="005F138D" w:rsidTr="009F063E">
        <w:tc>
          <w:tcPr>
            <w:tcW w:w="4248"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Par value</w:t>
            </w:r>
          </w:p>
        </w:tc>
        <w:tc>
          <w:tcPr>
            <w:tcW w:w="4819"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10,000 VND/share</w:t>
            </w:r>
          </w:p>
        </w:tc>
      </w:tr>
      <w:tr w:rsidR="00F6593E" w:rsidRPr="005F138D" w:rsidTr="009F063E">
        <w:tc>
          <w:tcPr>
            <w:tcW w:w="4248" w:type="dxa"/>
          </w:tcPr>
          <w:p w:rsidR="00F6593E" w:rsidRPr="005F138D" w:rsidRDefault="00F6593E" w:rsidP="00F6593E">
            <w:pPr>
              <w:rPr>
                <w:rFonts w:ascii="Times New Roman" w:hAnsi="Times New Roman"/>
                <w:sz w:val="24"/>
                <w:szCs w:val="24"/>
              </w:rPr>
            </w:pPr>
            <w:r w:rsidRPr="005F138D">
              <w:rPr>
                <w:rFonts w:ascii="Times New Roman" w:hAnsi="Times New Roman"/>
                <w:sz w:val="24"/>
                <w:szCs w:val="24"/>
              </w:rPr>
              <w:t>Number of share issued</w:t>
            </w:r>
          </w:p>
        </w:tc>
        <w:tc>
          <w:tcPr>
            <w:tcW w:w="4819" w:type="dxa"/>
          </w:tcPr>
          <w:p w:rsidR="00F6593E" w:rsidRPr="005F138D" w:rsidRDefault="00994FFE" w:rsidP="00F6593E">
            <w:pPr>
              <w:rPr>
                <w:rFonts w:ascii="Times New Roman" w:hAnsi="Times New Roman"/>
                <w:sz w:val="24"/>
                <w:szCs w:val="24"/>
              </w:rPr>
            </w:pPr>
            <w:r>
              <w:rPr>
                <w:rFonts w:ascii="Times New Roman" w:hAnsi="Times New Roman"/>
                <w:sz w:val="24"/>
                <w:szCs w:val="24"/>
              </w:rPr>
              <w:t>144,000,000</w:t>
            </w:r>
            <w:r w:rsidR="00F6593E" w:rsidRPr="005F138D">
              <w:rPr>
                <w:rFonts w:ascii="Times New Roman" w:hAnsi="Times New Roman"/>
                <w:sz w:val="24"/>
                <w:szCs w:val="24"/>
              </w:rPr>
              <w:t xml:space="preserve"> shares</w:t>
            </w:r>
          </w:p>
        </w:tc>
      </w:tr>
      <w:tr w:rsidR="00994FFE" w:rsidRPr="005F138D" w:rsidTr="009F063E">
        <w:tc>
          <w:tcPr>
            <w:tcW w:w="4248" w:type="dxa"/>
          </w:tcPr>
          <w:p w:rsidR="00994FFE" w:rsidRPr="005F138D" w:rsidRDefault="00994FFE" w:rsidP="00994FFE">
            <w:pPr>
              <w:rPr>
                <w:rFonts w:ascii="Times New Roman" w:hAnsi="Times New Roman"/>
                <w:sz w:val="24"/>
                <w:szCs w:val="24"/>
              </w:rPr>
            </w:pPr>
            <w:r>
              <w:rPr>
                <w:rFonts w:ascii="Times New Roman" w:hAnsi="Times New Roman"/>
                <w:sz w:val="24"/>
                <w:szCs w:val="24"/>
              </w:rPr>
              <w:t>Expected price</w:t>
            </w:r>
          </w:p>
        </w:tc>
        <w:tc>
          <w:tcPr>
            <w:tcW w:w="4819" w:type="dxa"/>
          </w:tcPr>
          <w:p w:rsidR="00994FFE" w:rsidRPr="005F138D" w:rsidRDefault="00994FFE" w:rsidP="00994FFE">
            <w:pPr>
              <w:rPr>
                <w:rFonts w:ascii="Times New Roman" w:hAnsi="Times New Roman"/>
                <w:sz w:val="24"/>
                <w:szCs w:val="24"/>
              </w:rPr>
            </w:pPr>
            <w:r w:rsidRPr="005F138D">
              <w:rPr>
                <w:rFonts w:ascii="Times New Roman" w:hAnsi="Times New Roman"/>
                <w:sz w:val="24"/>
                <w:szCs w:val="24"/>
              </w:rPr>
              <w:t>10,000 VND/share</w:t>
            </w:r>
          </w:p>
        </w:tc>
      </w:tr>
      <w:tr w:rsidR="00F6593E" w:rsidRPr="005F138D" w:rsidTr="009F063E">
        <w:tc>
          <w:tcPr>
            <w:tcW w:w="4248" w:type="dxa"/>
          </w:tcPr>
          <w:p w:rsidR="00F6593E" w:rsidRPr="005F138D" w:rsidRDefault="00994FFE" w:rsidP="00F6593E">
            <w:pPr>
              <w:rPr>
                <w:rFonts w:ascii="Times New Roman" w:hAnsi="Times New Roman"/>
                <w:sz w:val="24"/>
                <w:szCs w:val="24"/>
              </w:rPr>
            </w:pPr>
            <w:r w:rsidRPr="00994FFE">
              <w:rPr>
                <w:rFonts w:ascii="Times New Roman" w:hAnsi="Times New Roman"/>
                <w:sz w:val="24"/>
                <w:szCs w:val="24"/>
              </w:rPr>
              <w:t>The total value of shares offered for sale is calculated according to their par value</w:t>
            </w:r>
          </w:p>
        </w:tc>
        <w:tc>
          <w:tcPr>
            <w:tcW w:w="4819" w:type="dxa"/>
          </w:tcPr>
          <w:p w:rsidR="00F6593E" w:rsidRPr="005F138D" w:rsidRDefault="00994FFE" w:rsidP="00F6593E">
            <w:pPr>
              <w:rPr>
                <w:rFonts w:ascii="Times New Roman" w:hAnsi="Times New Roman"/>
                <w:sz w:val="24"/>
                <w:szCs w:val="24"/>
              </w:rPr>
            </w:pPr>
            <w:r>
              <w:rPr>
                <w:rFonts w:ascii="Times New Roman" w:hAnsi="Times New Roman"/>
                <w:sz w:val="24"/>
                <w:szCs w:val="24"/>
              </w:rPr>
              <w:t>1,440,000,000,000 VND</w:t>
            </w:r>
          </w:p>
        </w:tc>
      </w:tr>
      <w:tr w:rsidR="00994FFE" w:rsidRPr="005F138D" w:rsidTr="009F063E">
        <w:tc>
          <w:tcPr>
            <w:tcW w:w="4248" w:type="dxa"/>
          </w:tcPr>
          <w:p w:rsidR="00994FFE" w:rsidRPr="005F138D" w:rsidRDefault="00994FFE" w:rsidP="00994FFE">
            <w:pPr>
              <w:rPr>
                <w:rFonts w:ascii="Times New Roman" w:hAnsi="Times New Roman"/>
                <w:sz w:val="24"/>
                <w:szCs w:val="24"/>
              </w:rPr>
            </w:pPr>
            <w:r w:rsidRPr="00994FFE">
              <w:rPr>
                <w:rFonts w:ascii="Times New Roman" w:hAnsi="Times New Roman"/>
                <w:sz w:val="24"/>
                <w:szCs w:val="24"/>
              </w:rPr>
              <w:t>Total amount of capital raised is expected</w:t>
            </w:r>
          </w:p>
        </w:tc>
        <w:tc>
          <w:tcPr>
            <w:tcW w:w="4819" w:type="dxa"/>
          </w:tcPr>
          <w:p w:rsidR="00994FFE" w:rsidRPr="005F138D" w:rsidRDefault="00994FFE" w:rsidP="00994FFE">
            <w:pPr>
              <w:rPr>
                <w:rFonts w:ascii="Times New Roman" w:hAnsi="Times New Roman"/>
                <w:sz w:val="24"/>
                <w:szCs w:val="24"/>
              </w:rPr>
            </w:pPr>
            <w:r>
              <w:rPr>
                <w:rFonts w:ascii="Times New Roman" w:hAnsi="Times New Roman"/>
                <w:sz w:val="24"/>
                <w:szCs w:val="24"/>
              </w:rPr>
              <w:t>1,440,000,000,000 VND</w:t>
            </w:r>
          </w:p>
        </w:tc>
      </w:tr>
      <w:tr w:rsidR="007D72C5" w:rsidRPr="005F138D" w:rsidTr="009F063E">
        <w:tc>
          <w:tcPr>
            <w:tcW w:w="4248" w:type="dxa"/>
          </w:tcPr>
          <w:p w:rsidR="007D72C5" w:rsidRPr="005F138D" w:rsidRDefault="00994FFE" w:rsidP="007D72C5">
            <w:pPr>
              <w:rPr>
                <w:rFonts w:ascii="Times New Roman" w:hAnsi="Times New Roman"/>
                <w:sz w:val="24"/>
                <w:szCs w:val="24"/>
              </w:rPr>
            </w:pPr>
            <w:r w:rsidRPr="00994FFE">
              <w:rPr>
                <w:rFonts w:ascii="Times New Roman" w:hAnsi="Times New Roman"/>
                <w:sz w:val="24"/>
                <w:szCs w:val="24"/>
              </w:rPr>
              <w:t>the proportion of additional shares registered for offering on the total number of outstanding shares</w:t>
            </w:r>
          </w:p>
        </w:tc>
        <w:tc>
          <w:tcPr>
            <w:tcW w:w="4819" w:type="dxa"/>
          </w:tcPr>
          <w:p w:rsidR="007D72C5" w:rsidRPr="005F138D" w:rsidRDefault="00994FFE" w:rsidP="007D72C5">
            <w:pPr>
              <w:rPr>
                <w:rFonts w:ascii="Times New Roman" w:hAnsi="Times New Roman"/>
                <w:sz w:val="24"/>
                <w:szCs w:val="24"/>
              </w:rPr>
            </w:pPr>
            <w:r>
              <w:rPr>
                <w:rFonts w:ascii="Times New Roman" w:hAnsi="Times New Roman"/>
                <w:sz w:val="24"/>
                <w:szCs w:val="24"/>
              </w:rPr>
              <w:t>400%</w:t>
            </w:r>
          </w:p>
        </w:tc>
      </w:tr>
      <w:tr w:rsidR="00994FFE" w:rsidRPr="005F138D" w:rsidTr="009F063E">
        <w:tc>
          <w:tcPr>
            <w:tcW w:w="4248" w:type="dxa"/>
          </w:tcPr>
          <w:p w:rsidR="00994FFE" w:rsidRPr="00994FFE" w:rsidRDefault="00994FFE" w:rsidP="007D72C5">
            <w:pPr>
              <w:rPr>
                <w:rFonts w:ascii="Times New Roman" w:hAnsi="Times New Roman"/>
                <w:sz w:val="24"/>
                <w:szCs w:val="24"/>
              </w:rPr>
            </w:pPr>
            <w:r>
              <w:rPr>
                <w:rFonts w:ascii="Times New Roman" w:hAnsi="Times New Roman"/>
                <w:sz w:val="24"/>
                <w:szCs w:val="24"/>
              </w:rPr>
              <w:t>Method of share issuance</w:t>
            </w:r>
          </w:p>
        </w:tc>
        <w:tc>
          <w:tcPr>
            <w:tcW w:w="4819" w:type="dxa"/>
          </w:tcPr>
          <w:p w:rsidR="00994FFE" w:rsidRDefault="00994FFE" w:rsidP="007D72C5">
            <w:pPr>
              <w:rPr>
                <w:rFonts w:ascii="Times New Roman" w:hAnsi="Times New Roman"/>
                <w:sz w:val="24"/>
                <w:szCs w:val="24"/>
              </w:rPr>
            </w:pPr>
            <w:r>
              <w:rPr>
                <w:rFonts w:ascii="Times New Roman" w:hAnsi="Times New Roman"/>
                <w:sz w:val="24"/>
                <w:szCs w:val="24"/>
              </w:rPr>
              <w:t>Private placement</w:t>
            </w:r>
          </w:p>
        </w:tc>
      </w:tr>
      <w:tr w:rsidR="007D72C5" w:rsidRPr="005F138D" w:rsidTr="009F063E">
        <w:tc>
          <w:tcPr>
            <w:tcW w:w="4248" w:type="dxa"/>
          </w:tcPr>
          <w:p w:rsidR="007D72C5" w:rsidRPr="005F138D" w:rsidRDefault="00994FFE" w:rsidP="007D72C5">
            <w:pPr>
              <w:rPr>
                <w:rFonts w:ascii="Times New Roman" w:hAnsi="Times New Roman"/>
                <w:sz w:val="24"/>
                <w:szCs w:val="24"/>
              </w:rPr>
            </w:pPr>
            <w:r>
              <w:rPr>
                <w:rFonts w:ascii="Times New Roman" w:hAnsi="Times New Roman"/>
                <w:sz w:val="24"/>
                <w:szCs w:val="24"/>
              </w:rPr>
              <w:t>Number of investors</w:t>
            </w:r>
          </w:p>
        </w:tc>
        <w:tc>
          <w:tcPr>
            <w:tcW w:w="4819" w:type="dxa"/>
          </w:tcPr>
          <w:p w:rsidR="007D72C5" w:rsidRPr="005F138D" w:rsidRDefault="00994FFE" w:rsidP="007D72C5">
            <w:pPr>
              <w:rPr>
                <w:rFonts w:ascii="Times New Roman" w:hAnsi="Times New Roman"/>
                <w:sz w:val="24"/>
                <w:szCs w:val="24"/>
              </w:rPr>
            </w:pPr>
            <w:r>
              <w:rPr>
                <w:rFonts w:ascii="Times New Roman" w:hAnsi="Times New Roman"/>
                <w:sz w:val="24"/>
                <w:szCs w:val="24"/>
              </w:rPr>
              <w:t>Offering for less than 100 investors</w:t>
            </w:r>
          </w:p>
        </w:tc>
      </w:tr>
      <w:tr w:rsidR="007D72C5" w:rsidRPr="005F138D" w:rsidTr="009F063E">
        <w:tc>
          <w:tcPr>
            <w:tcW w:w="4248" w:type="dxa"/>
          </w:tcPr>
          <w:p w:rsidR="007D72C5" w:rsidRPr="005F138D" w:rsidRDefault="00994FFE" w:rsidP="007D72C5">
            <w:pPr>
              <w:rPr>
                <w:rFonts w:ascii="Times New Roman" w:hAnsi="Times New Roman"/>
                <w:sz w:val="24"/>
                <w:szCs w:val="24"/>
              </w:rPr>
            </w:pPr>
            <w:r w:rsidRPr="005F138D">
              <w:rPr>
                <w:rFonts w:ascii="Times New Roman" w:hAnsi="Times New Roman"/>
                <w:sz w:val="24"/>
                <w:szCs w:val="24"/>
              </w:rPr>
              <w:t>Target subjects</w:t>
            </w:r>
          </w:p>
        </w:tc>
        <w:tc>
          <w:tcPr>
            <w:tcW w:w="4819" w:type="dxa"/>
          </w:tcPr>
          <w:p w:rsidR="007D72C5" w:rsidRPr="005F138D" w:rsidRDefault="00994FFE" w:rsidP="007D72C5">
            <w:pPr>
              <w:rPr>
                <w:rFonts w:ascii="Times New Roman" w:hAnsi="Times New Roman"/>
                <w:sz w:val="24"/>
                <w:szCs w:val="24"/>
              </w:rPr>
            </w:pPr>
            <w:r>
              <w:rPr>
                <w:rFonts w:ascii="Times New Roman" w:hAnsi="Times New Roman"/>
                <w:sz w:val="24"/>
                <w:szCs w:val="24"/>
              </w:rPr>
              <w:t>Offering for strategic investors</w:t>
            </w:r>
          </w:p>
        </w:tc>
      </w:tr>
      <w:tr w:rsidR="007D72C5" w:rsidRPr="005F138D" w:rsidTr="009F063E">
        <w:tc>
          <w:tcPr>
            <w:tcW w:w="4248" w:type="dxa"/>
          </w:tcPr>
          <w:p w:rsidR="007D72C5" w:rsidRPr="005F138D" w:rsidRDefault="007C390C" w:rsidP="007D72C5">
            <w:pPr>
              <w:rPr>
                <w:rFonts w:ascii="Times New Roman" w:hAnsi="Times New Roman"/>
                <w:sz w:val="24"/>
                <w:szCs w:val="24"/>
              </w:rPr>
            </w:pPr>
            <w:r>
              <w:rPr>
                <w:rFonts w:ascii="Times New Roman" w:hAnsi="Times New Roman"/>
                <w:sz w:val="24"/>
                <w:szCs w:val="24"/>
              </w:rPr>
              <w:t>Criteria to select target subjects</w:t>
            </w:r>
          </w:p>
        </w:tc>
        <w:tc>
          <w:tcPr>
            <w:tcW w:w="4819" w:type="dxa"/>
          </w:tcPr>
          <w:p w:rsidR="007D72C5" w:rsidRPr="005F138D" w:rsidRDefault="007C390C" w:rsidP="007D72C5">
            <w:pPr>
              <w:rPr>
                <w:rFonts w:ascii="Times New Roman" w:hAnsi="Times New Roman"/>
                <w:sz w:val="24"/>
                <w:szCs w:val="24"/>
              </w:rPr>
            </w:pPr>
            <w:r>
              <w:rPr>
                <w:rFonts w:ascii="Times New Roman" w:hAnsi="Times New Roman"/>
                <w:sz w:val="24"/>
                <w:szCs w:val="24"/>
              </w:rPr>
              <w:t xml:space="preserve">- </w:t>
            </w:r>
            <w:r w:rsidRPr="007C390C">
              <w:rPr>
                <w:rFonts w:ascii="Times New Roman" w:hAnsi="Times New Roman"/>
                <w:sz w:val="24"/>
                <w:szCs w:val="24"/>
              </w:rPr>
              <w:t>The institution/individual must have sufficient financial capabilities</w:t>
            </w:r>
            <w:r w:rsidRPr="007C390C">
              <w:rPr>
                <w:rFonts w:ascii="Times New Roman" w:hAnsi="Times New Roman"/>
                <w:sz w:val="24"/>
                <w:szCs w:val="24"/>
              </w:rPr>
              <w:t xml:space="preserve"> to contribute to the development of the company</w:t>
            </w:r>
          </w:p>
        </w:tc>
      </w:tr>
      <w:tr w:rsidR="007D72C5" w:rsidRPr="005F138D" w:rsidTr="009F063E">
        <w:tc>
          <w:tcPr>
            <w:tcW w:w="4248" w:type="dxa"/>
          </w:tcPr>
          <w:p w:rsidR="007D72C5" w:rsidRPr="005F138D" w:rsidRDefault="007C390C" w:rsidP="00994FFE">
            <w:pPr>
              <w:rPr>
                <w:rFonts w:ascii="Times New Roman" w:hAnsi="Times New Roman"/>
                <w:sz w:val="24"/>
                <w:szCs w:val="24"/>
              </w:rPr>
            </w:pPr>
            <w:r w:rsidRPr="005F138D">
              <w:rPr>
                <w:rFonts w:ascii="Times New Roman" w:hAnsi="Times New Roman"/>
                <w:sz w:val="24"/>
                <w:szCs w:val="24"/>
              </w:rPr>
              <w:t>Plan on handling unsold share and odd-lot share</w:t>
            </w:r>
          </w:p>
        </w:tc>
        <w:tc>
          <w:tcPr>
            <w:tcW w:w="4819" w:type="dxa"/>
          </w:tcPr>
          <w:p w:rsidR="007D72C5" w:rsidRDefault="007C390C" w:rsidP="007D72C5">
            <w:pPr>
              <w:rPr>
                <w:rFonts w:ascii="Times New Roman" w:hAnsi="Times New Roman"/>
                <w:sz w:val="24"/>
                <w:szCs w:val="24"/>
              </w:rPr>
            </w:pPr>
            <w:r w:rsidRPr="005F138D">
              <w:rPr>
                <w:rFonts w:ascii="Times New Roman" w:hAnsi="Times New Roman"/>
                <w:sz w:val="24"/>
                <w:szCs w:val="24"/>
              </w:rPr>
              <w:t>- General Meeting of Shareholders authorizes Board of Directors to distribute the number of unsold shares and odd-lot shares to other entities with the prices which is not less than the issuing price for existing shareholders</w:t>
            </w:r>
          </w:p>
          <w:p w:rsidR="007C390C" w:rsidRDefault="007C390C" w:rsidP="007D72C5">
            <w:pPr>
              <w:rPr>
                <w:rFonts w:ascii="Times New Roman" w:hAnsi="Times New Roman"/>
                <w:sz w:val="24"/>
                <w:szCs w:val="24"/>
              </w:rPr>
            </w:pPr>
            <w:r>
              <w:rPr>
                <w:rFonts w:ascii="Times New Roman" w:hAnsi="Times New Roman"/>
                <w:sz w:val="24"/>
                <w:szCs w:val="24"/>
              </w:rPr>
              <w:lastRenderedPageBreak/>
              <w:t>- Undistributed shares continues to be distributed by the Board of Directors to other subjects which will be restricted to transfer for 1 year</w:t>
            </w:r>
          </w:p>
          <w:p w:rsidR="007C390C" w:rsidRPr="005F138D" w:rsidRDefault="007C390C" w:rsidP="007C390C">
            <w:pPr>
              <w:rPr>
                <w:rFonts w:ascii="Times New Roman" w:hAnsi="Times New Roman"/>
                <w:sz w:val="24"/>
                <w:szCs w:val="24"/>
              </w:rPr>
            </w:pPr>
            <w:r>
              <w:rPr>
                <w:rFonts w:ascii="Times New Roman" w:hAnsi="Times New Roman"/>
                <w:sz w:val="24"/>
                <w:szCs w:val="24"/>
              </w:rPr>
              <w:t xml:space="preserve">- </w:t>
            </w:r>
            <w:r w:rsidRPr="007C390C">
              <w:rPr>
                <w:rFonts w:ascii="Times New Roman" w:hAnsi="Times New Roman"/>
                <w:sz w:val="24"/>
                <w:szCs w:val="24"/>
              </w:rPr>
              <w:t xml:space="preserve">In case these unsold shares </w:t>
            </w:r>
            <w:proofErr w:type="gramStart"/>
            <w:r w:rsidRPr="007C390C">
              <w:rPr>
                <w:rFonts w:ascii="Times New Roman" w:hAnsi="Times New Roman"/>
                <w:sz w:val="24"/>
                <w:szCs w:val="24"/>
              </w:rPr>
              <w:t>have not been bought</w:t>
            </w:r>
            <w:proofErr w:type="gramEnd"/>
            <w:r w:rsidRPr="007C390C">
              <w:rPr>
                <w:rFonts w:ascii="Times New Roman" w:hAnsi="Times New Roman"/>
                <w:sz w:val="24"/>
                <w:szCs w:val="24"/>
              </w:rPr>
              <w:t xml:space="preserve"> completely, the increase of charter capital will base on the actual number of shares issued.</w:t>
            </w:r>
          </w:p>
        </w:tc>
      </w:tr>
      <w:tr w:rsidR="007D72C5" w:rsidRPr="005F138D" w:rsidTr="009F063E">
        <w:tc>
          <w:tcPr>
            <w:tcW w:w="4248" w:type="dxa"/>
          </w:tcPr>
          <w:p w:rsidR="007D72C5" w:rsidRPr="005F138D" w:rsidRDefault="007C390C" w:rsidP="007D72C5">
            <w:pPr>
              <w:rPr>
                <w:rFonts w:ascii="Times New Roman" w:hAnsi="Times New Roman"/>
                <w:sz w:val="24"/>
                <w:szCs w:val="24"/>
              </w:rPr>
            </w:pPr>
            <w:r w:rsidRPr="007C390C">
              <w:rPr>
                <w:rFonts w:ascii="Times New Roman" w:hAnsi="Times New Roman"/>
                <w:sz w:val="24"/>
                <w:szCs w:val="24"/>
              </w:rPr>
              <w:lastRenderedPageBreak/>
              <w:t>Restriction on the transfer</w:t>
            </w:r>
          </w:p>
        </w:tc>
        <w:tc>
          <w:tcPr>
            <w:tcW w:w="4819" w:type="dxa"/>
          </w:tcPr>
          <w:p w:rsidR="007D72C5" w:rsidRPr="005F138D" w:rsidRDefault="007C390C" w:rsidP="007D72C5">
            <w:pPr>
              <w:rPr>
                <w:rFonts w:ascii="Times New Roman" w:hAnsi="Times New Roman"/>
                <w:sz w:val="24"/>
                <w:szCs w:val="24"/>
              </w:rPr>
            </w:pPr>
            <w:r w:rsidRPr="007C390C">
              <w:rPr>
                <w:rFonts w:ascii="Times New Roman" w:hAnsi="Times New Roman"/>
                <w:sz w:val="24"/>
                <w:szCs w:val="24"/>
              </w:rPr>
              <w:t>The number of shares of this private placement shall be restricted in transfer within 01 year from the date of completing the share issuance</w:t>
            </w:r>
            <w:r w:rsidRPr="007C390C">
              <w:rPr>
                <w:rFonts w:ascii="Times New Roman" w:hAnsi="Times New Roman"/>
                <w:sz w:val="24"/>
                <w:szCs w:val="24"/>
              </w:rPr>
              <w:t xml:space="preserve"> as prescribed by the legal regulations</w:t>
            </w:r>
          </w:p>
        </w:tc>
      </w:tr>
      <w:tr w:rsidR="007D72C5" w:rsidRPr="005F138D" w:rsidTr="009F063E">
        <w:tc>
          <w:tcPr>
            <w:tcW w:w="4248" w:type="dxa"/>
          </w:tcPr>
          <w:p w:rsidR="007D72C5" w:rsidRPr="005F138D" w:rsidRDefault="007C390C" w:rsidP="007D72C5">
            <w:pPr>
              <w:rPr>
                <w:rFonts w:ascii="Times New Roman" w:hAnsi="Times New Roman"/>
                <w:sz w:val="24"/>
                <w:szCs w:val="24"/>
              </w:rPr>
            </w:pPr>
            <w:r>
              <w:rPr>
                <w:rFonts w:ascii="Times New Roman" w:hAnsi="Times New Roman"/>
                <w:sz w:val="24"/>
                <w:szCs w:val="24"/>
              </w:rPr>
              <w:t>Plan on proceeds</w:t>
            </w:r>
          </w:p>
        </w:tc>
        <w:tc>
          <w:tcPr>
            <w:tcW w:w="4819" w:type="dxa"/>
          </w:tcPr>
          <w:p w:rsidR="007D72C5" w:rsidRPr="005F138D" w:rsidRDefault="007C390C" w:rsidP="007C390C">
            <w:pPr>
              <w:rPr>
                <w:rFonts w:ascii="Times New Roman" w:hAnsi="Times New Roman"/>
                <w:sz w:val="24"/>
                <w:szCs w:val="24"/>
              </w:rPr>
            </w:pPr>
            <w:r>
              <w:rPr>
                <w:rFonts w:ascii="Times New Roman" w:hAnsi="Times New Roman"/>
                <w:sz w:val="24"/>
                <w:szCs w:val="24"/>
              </w:rPr>
              <w:t>All</w:t>
            </w:r>
            <w:r w:rsidRPr="007C390C">
              <w:rPr>
                <w:rFonts w:ascii="Times New Roman" w:hAnsi="Times New Roman"/>
                <w:sz w:val="24"/>
                <w:szCs w:val="24"/>
              </w:rPr>
              <w:t xml:space="preserve"> the capital collected from the offering will</w:t>
            </w:r>
            <w:r>
              <w:rPr>
                <w:rFonts w:ascii="Times New Roman" w:hAnsi="Times New Roman"/>
                <w:sz w:val="24"/>
                <w:szCs w:val="24"/>
              </w:rPr>
              <w:t xml:space="preserve"> be</w:t>
            </w:r>
            <w:r w:rsidRPr="007C390C">
              <w:rPr>
                <w:rFonts w:ascii="Times New Roman" w:hAnsi="Times New Roman"/>
                <w:sz w:val="24"/>
                <w:szCs w:val="24"/>
              </w:rPr>
              <w:t xml:space="preserve"> supplement</w:t>
            </w:r>
            <w:r>
              <w:rPr>
                <w:rFonts w:ascii="Times New Roman" w:hAnsi="Times New Roman"/>
                <w:sz w:val="24"/>
                <w:szCs w:val="24"/>
              </w:rPr>
              <w:t>ed</w:t>
            </w:r>
            <w:r w:rsidRPr="007C390C">
              <w:rPr>
                <w:rFonts w:ascii="Times New Roman" w:hAnsi="Times New Roman"/>
                <w:sz w:val="24"/>
                <w:szCs w:val="24"/>
              </w:rPr>
              <w:t xml:space="preserve"> for the </w:t>
            </w:r>
            <w:proofErr w:type="spellStart"/>
            <w:r w:rsidRPr="007C390C">
              <w:rPr>
                <w:rFonts w:ascii="Times New Roman" w:hAnsi="Times New Roman"/>
                <w:sz w:val="24"/>
                <w:szCs w:val="24"/>
              </w:rPr>
              <w:t>Cai</w:t>
            </w:r>
            <w:proofErr w:type="spellEnd"/>
            <w:r w:rsidRPr="007C390C">
              <w:rPr>
                <w:rFonts w:ascii="Times New Roman" w:hAnsi="Times New Roman"/>
                <w:sz w:val="24"/>
                <w:szCs w:val="24"/>
              </w:rPr>
              <w:t xml:space="preserve"> </w:t>
            </w:r>
            <w:proofErr w:type="spellStart"/>
            <w:r w:rsidRPr="007C390C">
              <w:rPr>
                <w:rFonts w:ascii="Times New Roman" w:hAnsi="Times New Roman"/>
                <w:sz w:val="24"/>
                <w:szCs w:val="24"/>
              </w:rPr>
              <w:t>Gia</w:t>
            </w:r>
            <w:proofErr w:type="spellEnd"/>
            <w:r w:rsidRPr="007C390C">
              <w:rPr>
                <w:rFonts w:ascii="Times New Roman" w:hAnsi="Times New Roman"/>
                <w:sz w:val="24"/>
                <w:szCs w:val="24"/>
              </w:rPr>
              <w:t xml:space="preserve"> tourist urban area project, Cat Ba</w:t>
            </w:r>
          </w:p>
        </w:tc>
      </w:tr>
      <w:tr w:rsidR="007D72C5" w:rsidRPr="005F138D" w:rsidTr="009F063E">
        <w:tc>
          <w:tcPr>
            <w:tcW w:w="4248" w:type="dxa"/>
          </w:tcPr>
          <w:p w:rsidR="007D72C5" w:rsidRPr="005F138D" w:rsidRDefault="007D72C5" w:rsidP="007D72C5">
            <w:pPr>
              <w:rPr>
                <w:rFonts w:ascii="Times New Roman" w:hAnsi="Times New Roman"/>
                <w:sz w:val="24"/>
                <w:szCs w:val="24"/>
              </w:rPr>
            </w:pPr>
            <w:r w:rsidRPr="005F138D">
              <w:rPr>
                <w:rFonts w:ascii="Times New Roman" w:hAnsi="Times New Roman"/>
                <w:sz w:val="24"/>
                <w:szCs w:val="24"/>
              </w:rPr>
              <w:t>Implementation time</w:t>
            </w:r>
          </w:p>
        </w:tc>
        <w:tc>
          <w:tcPr>
            <w:tcW w:w="4819" w:type="dxa"/>
          </w:tcPr>
          <w:p w:rsidR="007D72C5" w:rsidRPr="005F138D" w:rsidRDefault="007C390C" w:rsidP="007C390C">
            <w:pPr>
              <w:rPr>
                <w:rFonts w:ascii="Times New Roman" w:hAnsi="Times New Roman"/>
                <w:sz w:val="24"/>
                <w:szCs w:val="24"/>
              </w:rPr>
            </w:pPr>
            <w:r>
              <w:rPr>
                <w:rFonts w:ascii="Times New Roman" w:hAnsi="Times New Roman"/>
                <w:sz w:val="24"/>
                <w:szCs w:val="24"/>
              </w:rPr>
              <w:t>In Q.4/2020 to Q2</w:t>
            </w:r>
            <w:r w:rsidR="007D72C5" w:rsidRPr="005F138D">
              <w:rPr>
                <w:rFonts w:ascii="Times New Roman" w:hAnsi="Times New Roman"/>
                <w:sz w:val="24"/>
                <w:szCs w:val="24"/>
              </w:rPr>
              <w:t xml:space="preserve">/2021 after being approved by the </w:t>
            </w:r>
            <w:r w:rsidR="00FE1BAF" w:rsidRPr="005F138D">
              <w:rPr>
                <w:rFonts w:ascii="Times New Roman" w:hAnsi="Times New Roman"/>
                <w:sz w:val="24"/>
                <w:szCs w:val="24"/>
              </w:rPr>
              <w:t>SSC</w:t>
            </w:r>
          </w:p>
        </w:tc>
      </w:tr>
    </w:tbl>
    <w:p w:rsidR="00F6593E" w:rsidRPr="005F138D" w:rsidRDefault="00F6593E" w:rsidP="00F6593E">
      <w:pPr>
        <w:rPr>
          <w:rFonts w:ascii="Times New Roman" w:hAnsi="Times New Roman"/>
          <w:sz w:val="24"/>
          <w:szCs w:val="24"/>
        </w:rPr>
      </w:pPr>
    </w:p>
    <w:p w:rsidR="00557076" w:rsidRPr="005F138D" w:rsidRDefault="00FE1BAF">
      <w:pPr>
        <w:rPr>
          <w:rFonts w:ascii="Times New Roman" w:hAnsi="Times New Roman"/>
          <w:sz w:val="24"/>
          <w:szCs w:val="24"/>
        </w:rPr>
      </w:pPr>
      <w:r w:rsidRPr="005F138D">
        <w:rPr>
          <w:rFonts w:ascii="Times New Roman" w:hAnsi="Times New Roman"/>
          <w:sz w:val="24"/>
          <w:szCs w:val="24"/>
        </w:rPr>
        <w:t>Article 2: Approved the plan using money obtained from share issuance</w:t>
      </w:r>
      <w:r w:rsidR="007C390C">
        <w:rPr>
          <w:rFonts w:ascii="Times New Roman" w:hAnsi="Times New Roman"/>
          <w:sz w:val="24"/>
          <w:szCs w:val="24"/>
        </w:rPr>
        <w:t xml:space="preserve"> for private placement as follows:</w:t>
      </w:r>
    </w:p>
    <w:p w:rsidR="00FE1BAF" w:rsidRPr="005F138D" w:rsidRDefault="00FE1BAF">
      <w:pPr>
        <w:rPr>
          <w:rFonts w:ascii="Times New Roman" w:hAnsi="Times New Roman"/>
          <w:sz w:val="24"/>
          <w:szCs w:val="24"/>
        </w:rPr>
      </w:pPr>
      <w:r w:rsidRPr="005F138D">
        <w:rPr>
          <w:rFonts w:ascii="Times New Roman" w:hAnsi="Times New Roman"/>
          <w:sz w:val="24"/>
          <w:szCs w:val="24"/>
        </w:rPr>
        <w:t>Total number of money obtain</w:t>
      </w:r>
      <w:r w:rsidR="007C390C">
        <w:rPr>
          <w:rFonts w:ascii="Times New Roman" w:hAnsi="Times New Roman"/>
          <w:sz w:val="24"/>
          <w:szCs w:val="24"/>
        </w:rPr>
        <w:t>ed from the share issuance for private placement</w:t>
      </w:r>
      <w:r w:rsidRPr="005F138D">
        <w:rPr>
          <w:rFonts w:ascii="Times New Roman" w:hAnsi="Times New Roman"/>
          <w:sz w:val="24"/>
          <w:szCs w:val="24"/>
        </w:rPr>
        <w:t xml:space="preserve"> is expected to be </w:t>
      </w:r>
      <w:r w:rsidR="007C390C">
        <w:rPr>
          <w:rFonts w:ascii="Times New Roman" w:hAnsi="Times New Roman"/>
          <w:sz w:val="24"/>
          <w:szCs w:val="24"/>
        </w:rPr>
        <w:t>1,440,000,000,000</w:t>
      </w:r>
      <w:r w:rsidRPr="005F138D">
        <w:rPr>
          <w:rFonts w:ascii="Times New Roman" w:hAnsi="Times New Roman"/>
          <w:sz w:val="24"/>
          <w:szCs w:val="24"/>
        </w:rPr>
        <w:t xml:space="preserve"> </w:t>
      </w:r>
      <w:proofErr w:type="gramStart"/>
      <w:r w:rsidRPr="005F138D">
        <w:rPr>
          <w:rFonts w:ascii="Times New Roman" w:hAnsi="Times New Roman"/>
          <w:sz w:val="24"/>
          <w:szCs w:val="24"/>
        </w:rPr>
        <w:t>VND</w:t>
      </w:r>
      <w:r w:rsidR="00E57AE6">
        <w:rPr>
          <w:rFonts w:ascii="Times New Roman" w:hAnsi="Times New Roman"/>
          <w:sz w:val="24"/>
          <w:szCs w:val="24"/>
        </w:rPr>
        <w:t xml:space="preserve"> which</w:t>
      </w:r>
      <w:proofErr w:type="gramEnd"/>
      <w:r w:rsidR="00E57AE6">
        <w:rPr>
          <w:rFonts w:ascii="Times New Roman" w:hAnsi="Times New Roman"/>
          <w:sz w:val="24"/>
          <w:szCs w:val="24"/>
        </w:rPr>
        <w:t xml:space="preserve"> will be </w:t>
      </w:r>
      <w:r w:rsidR="00E57AE6" w:rsidRPr="007C390C">
        <w:rPr>
          <w:rFonts w:ascii="Times New Roman" w:hAnsi="Times New Roman"/>
          <w:sz w:val="24"/>
          <w:szCs w:val="24"/>
        </w:rPr>
        <w:t>supplement</w:t>
      </w:r>
      <w:r w:rsidR="00E57AE6">
        <w:rPr>
          <w:rFonts w:ascii="Times New Roman" w:hAnsi="Times New Roman"/>
          <w:sz w:val="24"/>
          <w:szCs w:val="24"/>
        </w:rPr>
        <w:t>ed</w:t>
      </w:r>
      <w:r w:rsidR="00E57AE6" w:rsidRPr="007C390C">
        <w:rPr>
          <w:rFonts w:ascii="Times New Roman" w:hAnsi="Times New Roman"/>
          <w:sz w:val="24"/>
          <w:szCs w:val="24"/>
        </w:rPr>
        <w:t xml:space="preserve"> for the </w:t>
      </w:r>
      <w:proofErr w:type="spellStart"/>
      <w:r w:rsidR="00E57AE6" w:rsidRPr="007C390C">
        <w:rPr>
          <w:rFonts w:ascii="Times New Roman" w:hAnsi="Times New Roman"/>
          <w:sz w:val="24"/>
          <w:szCs w:val="24"/>
        </w:rPr>
        <w:t>Cai</w:t>
      </w:r>
      <w:proofErr w:type="spellEnd"/>
      <w:r w:rsidR="00E57AE6" w:rsidRPr="007C390C">
        <w:rPr>
          <w:rFonts w:ascii="Times New Roman" w:hAnsi="Times New Roman"/>
          <w:sz w:val="24"/>
          <w:szCs w:val="24"/>
        </w:rPr>
        <w:t xml:space="preserve"> </w:t>
      </w:r>
      <w:proofErr w:type="spellStart"/>
      <w:r w:rsidR="00E57AE6" w:rsidRPr="007C390C">
        <w:rPr>
          <w:rFonts w:ascii="Times New Roman" w:hAnsi="Times New Roman"/>
          <w:sz w:val="24"/>
          <w:szCs w:val="24"/>
        </w:rPr>
        <w:t>Gia</w:t>
      </w:r>
      <w:proofErr w:type="spellEnd"/>
      <w:r w:rsidR="00E57AE6" w:rsidRPr="007C390C">
        <w:rPr>
          <w:rFonts w:ascii="Times New Roman" w:hAnsi="Times New Roman"/>
          <w:sz w:val="24"/>
          <w:szCs w:val="24"/>
        </w:rPr>
        <w:t xml:space="preserve"> tourist urban area project, Cat Ba</w:t>
      </w:r>
      <w:r w:rsidRPr="005F138D">
        <w:rPr>
          <w:rFonts w:ascii="Times New Roman" w:hAnsi="Times New Roman"/>
          <w:sz w:val="24"/>
          <w:szCs w:val="24"/>
        </w:rPr>
        <w:t xml:space="preserve">. It </w:t>
      </w:r>
      <w:proofErr w:type="gramStart"/>
      <w:r w:rsidRPr="005F138D">
        <w:rPr>
          <w:rFonts w:ascii="Times New Roman" w:hAnsi="Times New Roman"/>
          <w:sz w:val="24"/>
          <w:szCs w:val="24"/>
        </w:rPr>
        <w:t>will be used</w:t>
      </w:r>
      <w:proofErr w:type="gramEnd"/>
      <w:r w:rsidRPr="005F138D">
        <w:rPr>
          <w:rFonts w:ascii="Times New Roman" w:hAnsi="Times New Roman"/>
          <w:sz w:val="24"/>
          <w:szCs w:val="24"/>
        </w:rPr>
        <w:t xml:space="preserve"> as follows:</w:t>
      </w:r>
    </w:p>
    <w:p w:rsidR="00FE1BAF" w:rsidRPr="005F138D" w:rsidRDefault="00FE1BAF" w:rsidP="00FE1BAF">
      <w:pPr>
        <w:jc w:val="right"/>
        <w:rPr>
          <w:rFonts w:ascii="Times New Roman" w:hAnsi="Times New Roman"/>
          <w:sz w:val="24"/>
          <w:szCs w:val="24"/>
        </w:rPr>
      </w:pPr>
      <w:r w:rsidRPr="005F138D">
        <w:rPr>
          <w:rFonts w:ascii="Times New Roman" w:hAnsi="Times New Roman"/>
          <w:sz w:val="24"/>
          <w:szCs w:val="24"/>
        </w:rPr>
        <w:t xml:space="preserve">Unit: </w:t>
      </w:r>
      <w:r w:rsidR="00E57AE6">
        <w:rPr>
          <w:rFonts w:ascii="Times New Roman" w:hAnsi="Times New Roman"/>
          <w:sz w:val="24"/>
          <w:szCs w:val="24"/>
        </w:rPr>
        <w:t xml:space="preserve">billion </w:t>
      </w:r>
      <w:r w:rsidRPr="005F138D">
        <w:rPr>
          <w:rFonts w:ascii="Times New Roman" w:hAnsi="Times New Roman"/>
          <w:sz w:val="24"/>
          <w:szCs w:val="24"/>
        </w:rPr>
        <w:t>VND</w:t>
      </w:r>
    </w:p>
    <w:tbl>
      <w:tblPr>
        <w:tblStyle w:val="TableGrid"/>
        <w:tblW w:w="10462" w:type="dxa"/>
        <w:tblLook w:val="04A0" w:firstRow="1" w:lastRow="0" w:firstColumn="1" w:lastColumn="0" w:noHBand="0" w:noVBand="1"/>
      </w:tblPr>
      <w:tblGrid>
        <w:gridCol w:w="570"/>
        <w:gridCol w:w="2119"/>
        <w:gridCol w:w="1377"/>
        <w:gridCol w:w="1116"/>
        <w:gridCol w:w="1056"/>
        <w:gridCol w:w="1056"/>
        <w:gridCol w:w="1056"/>
        <w:gridCol w:w="1056"/>
        <w:gridCol w:w="1056"/>
      </w:tblGrid>
      <w:tr w:rsidR="00E57AE6" w:rsidTr="004D4BD6">
        <w:trPr>
          <w:trHeight w:val="757"/>
        </w:trPr>
        <w:tc>
          <w:tcPr>
            <w:tcW w:w="570" w:type="dxa"/>
            <w:vMerge w:val="restart"/>
          </w:tcPr>
          <w:p w:rsidR="00E57AE6" w:rsidRDefault="00E57AE6" w:rsidP="00FE1BAF">
            <w:pPr>
              <w:rPr>
                <w:rFonts w:ascii="Times New Roman" w:hAnsi="Times New Roman"/>
                <w:sz w:val="24"/>
                <w:szCs w:val="24"/>
              </w:rPr>
            </w:pPr>
            <w:r>
              <w:rPr>
                <w:rFonts w:ascii="Times New Roman" w:hAnsi="Times New Roman"/>
                <w:sz w:val="24"/>
                <w:szCs w:val="24"/>
              </w:rPr>
              <w:t>No.</w:t>
            </w:r>
          </w:p>
        </w:tc>
        <w:tc>
          <w:tcPr>
            <w:tcW w:w="2119" w:type="dxa"/>
            <w:vMerge w:val="restart"/>
          </w:tcPr>
          <w:p w:rsidR="00E57AE6" w:rsidRDefault="00E57AE6" w:rsidP="00FE1BAF">
            <w:pPr>
              <w:rPr>
                <w:rFonts w:ascii="Times New Roman" w:hAnsi="Times New Roman"/>
                <w:sz w:val="24"/>
                <w:szCs w:val="24"/>
              </w:rPr>
            </w:pPr>
            <w:r>
              <w:rPr>
                <w:rFonts w:ascii="Times New Roman" w:hAnsi="Times New Roman"/>
                <w:sz w:val="24"/>
                <w:szCs w:val="24"/>
              </w:rPr>
              <w:t>Expected plan on proceeds</w:t>
            </w:r>
          </w:p>
        </w:tc>
        <w:tc>
          <w:tcPr>
            <w:tcW w:w="1377" w:type="dxa"/>
            <w:vMerge w:val="restart"/>
          </w:tcPr>
          <w:p w:rsidR="00E57AE6" w:rsidRDefault="00E57AE6" w:rsidP="00FE1BAF">
            <w:pPr>
              <w:rPr>
                <w:rFonts w:ascii="Times New Roman" w:hAnsi="Times New Roman"/>
                <w:sz w:val="24"/>
                <w:szCs w:val="24"/>
              </w:rPr>
            </w:pPr>
            <w:r>
              <w:rPr>
                <w:rFonts w:ascii="Times New Roman" w:hAnsi="Times New Roman"/>
                <w:sz w:val="24"/>
                <w:szCs w:val="24"/>
              </w:rPr>
              <w:t>Distribution of proceeds from the offering</w:t>
            </w:r>
          </w:p>
        </w:tc>
        <w:tc>
          <w:tcPr>
            <w:tcW w:w="6396" w:type="dxa"/>
            <w:gridSpan w:val="6"/>
          </w:tcPr>
          <w:p w:rsidR="00E57AE6" w:rsidRDefault="00E57AE6" w:rsidP="00FE1BAF">
            <w:pPr>
              <w:rPr>
                <w:rFonts w:ascii="Times New Roman" w:hAnsi="Times New Roman"/>
                <w:sz w:val="24"/>
                <w:szCs w:val="24"/>
              </w:rPr>
            </w:pPr>
            <w:r>
              <w:rPr>
                <w:rFonts w:ascii="Times New Roman" w:hAnsi="Times New Roman"/>
                <w:sz w:val="24"/>
                <w:szCs w:val="24"/>
              </w:rPr>
              <w:t>The expected rate of progress of the plan on proceeds</w:t>
            </w:r>
          </w:p>
        </w:tc>
      </w:tr>
      <w:tr w:rsidR="004D4BD6" w:rsidTr="004D4BD6">
        <w:trPr>
          <w:trHeight w:val="532"/>
        </w:trPr>
        <w:tc>
          <w:tcPr>
            <w:tcW w:w="570" w:type="dxa"/>
            <w:vMerge/>
          </w:tcPr>
          <w:p w:rsidR="00E57AE6" w:rsidRDefault="00E57AE6" w:rsidP="00FE1BAF">
            <w:pPr>
              <w:rPr>
                <w:rFonts w:ascii="Times New Roman" w:hAnsi="Times New Roman"/>
                <w:sz w:val="24"/>
                <w:szCs w:val="24"/>
              </w:rPr>
            </w:pPr>
          </w:p>
        </w:tc>
        <w:tc>
          <w:tcPr>
            <w:tcW w:w="2119" w:type="dxa"/>
            <w:vMerge/>
          </w:tcPr>
          <w:p w:rsidR="00E57AE6" w:rsidRDefault="00E57AE6" w:rsidP="00FE1BAF">
            <w:pPr>
              <w:rPr>
                <w:rFonts w:ascii="Times New Roman" w:hAnsi="Times New Roman"/>
                <w:sz w:val="24"/>
                <w:szCs w:val="24"/>
              </w:rPr>
            </w:pPr>
          </w:p>
        </w:tc>
        <w:tc>
          <w:tcPr>
            <w:tcW w:w="1377" w:type="dxa"/>
            <w:vMerge/>
          </w:tcPr>
          <w:p w:rsidR="00E57AE6" w:rsidRDefault="00E57AE6" w:rsidP="00FE1BAF">
            <w:pPr>
              <w:rPr>
                <w:rFonts w:ascii="Times New Roman" w:hAnsi="Times New Roman"/>
                <w:sz w:val="24"/>
                <w:szCs w:val="24"/>
              </w:rPr>
            </w:pPr>
          </w:p>
        </w:tc>
        <w:tc>
          <w:tcPr>
            <w:tcW w:w="1116" w:type="dxa"/>
          </w:tcPr>
          <w:p w:rsidR="00E57AE6" w:rsidRDefault="00E57AE6" w:rsidP="00FE1BAF">
            <w:pPr>
              <w:rPr>
                <w:rFonts w:ascii="Times New Roman" w:hAnsi="Times New Roman"/>
                <w:sz w:val="24"/>
                <w:szCs w:val="24"/>
              </w:rPr>
            </w:pPr>
            <w:r>
              <w:rPr>
                <w:rFonts w:ascii="Times New Roman" w:hAnsi="Times New Roman"/>
                <w:sz w:val="24"/>
                <w:szCs w:val="24"/>
              </w:rPr>
              <w:t>Q.4/2020</w:t>
            </w:r>
          </w:p>
        </w:tc>
        <w:tc>
          <w:tcPr>
            <w:tcW w:w="1056" w:type="dxa"/>
          </w:tcPr>
          <w:p w:rsidR="00E57AE6" w:rsidRDefault="00E57AE6" w:rsidP="00FE1BAF">
            <w:pPr>
              <w:rPr>
                <w:rFonts w:ascii="Times New Roman" w:hAnsi="Times New Roman"/>
                <w:sz w:val="24"/>
                <w:szCs w:val="24"/>
              </w:rPr>
            </w:pPr>
            <w:r>
              <w:rPr>
                <w:rFonts w:ascii="Times New Roman" w:hAnsi="Times New Roman"/>
                <w:sz w:val="24"/>
                <w:szCs w:val="24"/>
              </w:rPr>
              <w:t>Q1/2021</w:t>
            </w:r>
          </w:p>
        </w:tc>
        <w:tc>
          <w:tcPr>
            <w:tcW w:w="1056" w:type="dxa"/>
          </w:tcPr>
          <w:p w:rsidR="00E57AE6" w:rsidRDefault="00E57AE6" w:rsidP="00FE1BAF">
            <w:pPr>
              <w:rPr>
                <w:rFonts w:ascii="Times New Roman" w:hAnsi="Times New Roman"/>
                <w:sz w:val="24"/>
                <w:szCs w:val="24"/>
              </w:rPr>
            </w:pPr>
            <w:r>
              <w:rPr>
                <w:rFonts w:ascii="Times New Roman" w:hAnsi="Times New Roman"/>
                <w:sz w:val="24"/>
                <w:szCs w:val="24"/>
              </w:rPr>
              <w:t>Q2/2021</w:t>
            </w:r>
          </w:p>
        </w:tc>
        <w:tc>
          <w:tcPr>
            <w:tcW w:w="1056" w:type="dxa"/>
          </w:tcPr>
          <w:p w:rsidR="00E57AE6" w:rsidRDefault="00E57AE6" w:rsidP="00FE1BAF">
            <w:pPr>
              <w:rPr>
                <w:rFonts w:ascii="Times New Roman" w:hAnsi="Times New Roman"/>
                <w:sz w:val="24"/>
                <w:szCs w:val="24"/>
              </w:rPr>
            </w:pPr>
            <w:r>
              <w:rPr>
                <w:rFonts w:ascii="Times New Roman" w:hAnsi="Times New Roman"/>
                <w:sz w:val="24"/>
                <w:szCs w:val="24"/>
              </w:rPr>
              <w:t>Q3/2021</w:t>
            </w:r>
          </w:p>
        </w:tc>
        <w:tc>
          <w:tcPr>
            <w:tcW w:w="1056" w:type="dxa"/>
          </w:tcPr>
          <w:p w:rsidR="00E57AE6" w:rsidRDefault="00E57AE6" w:rsidP="00FE1BAF">
            <w:pPr>
              <w:rPr>
                <w:rFonts w:ascii="Times New Roman" w:hAnsi="Times New Roman"/>
                <w:sz w:val="24"/>
                <w:szCs w:val="24"/>
              </w:rPr>
            </w:pPr>
            <w:r>
              <w:rPr>
                <w:rFonts w:ascii="Times New Roman" w:hAnsi="Times New Roman"/>
                <w:sz w:val="24"/>
                <w:szCs w:val="24"/>
              </w:rPr>
              <w:t>Q4/2021</w:t>
            </w:r>
          </w:p>
        </w:tc>
        <w:tc>
          <w:tcPr>
            <w:tcW w:w="1056" w:type="dxa"/>
          </w:tcPr>
          <w:p w:rsidR="00E57AE6" w:rsidRDefault="00E57AE6" w:rsidP="00FE1BAF">
            <w:pPr>
              <w:rPr>
                <w:rFonts w:ascii="Times New Roman" w:hAnsi="Times New Roman"/>
                <w:sz w:val="24"/>
                <w:szCs w:val="24"/>
              </w:rPr>
            </w:pPr>
            <w:r>
              <w:rPr>
                <w:rFonts w:ascii="Times New Roman" w:hAnsi="Times New Roman"/>
                <w:sz w:val="24"/>
                <w:szCs w:val="24"/>
              </w:rPr>
              <w:t>Q1/2022</w:t>
            </w:r>
          </w:p>
        </w:tc>
      </w:tr>
      <w:tr w:rsidR="004D4BD6" w:rsidTr="004D4BD6">
        <w:trPr>
          <w:trHeight w:val="757"/>
        </w:trPr>
        <w:tc>
          <w:tcPr>
            <w:tcW w:w="570" w:type="dxa"/>
          </w:tcPr>
          <w:p w:rsidR="00E57AE6" w:rsidRDefault="00E57AE6" w:rsidP="00FE1BAF">
            <w:pPr>
              <w:rPr>
                <w:rFonts w:ascii="Times New Roman" w:hAnsi="Times New Roman"/>
                <w:sz w:val="24"/>
                <w:szCs w:val="24"/>
              </w:rPr>
            </w:pPr>
            <w:r>
              <w:rPr>
                <w:rFonts w:ascii="Times New Roman" w:hAnsi="Times New Roman"/>
                <w:sz w:val="24"/>
                <w:szCs w:val="24"/>
              </w:rPr>
              <w:t>1</w:t>
            </w:r>
          </w:p>
        </w:tc>
        <w:tc>
          <w:tcPr>
            <w:tcW w:w="2119" w:type="dxa"/>
          </w:tcPr>
          <w:p w:rsidR="00E57AE6" w:rsidRDefault="004D4BD6" w:rsidP="00FE1BAF">
            <w:pPr>
              <w:rPr>
                <w:rFonts w:ascii="Times New Roman" w:hAnsi="Times New Roman"/>
                <w:sz w:val="24"/>
                <w:szCs w:val="24"/>
              </w:rPr>
            </w:pPr>
            <w:r>
              <w:rPr>
                <w:rFonts w:ascii="Times New Roman" w:hAnsi="Times New Roman"/>
                <w:sz w:val="24"/>
                <w:szCs w:val="24"/>
              </w:rPr>
              <w:t>Investment on construction of technical infrastructure</w:t>
            </w:r>
          </w:p>
        </w:tc>
        <w:tc>
          <w:tcPr>
            <w:tcW w:w="1377" w:type="dxa"/>
          </w:tcPr>
          <w:p w:rsidR="00E57AE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47</w:t>
            </w:r>
          </w:p>
        </w:tc>
        <w:tc>
          <w:tcPr>
            <w:tcW w:w="1116" w:type="dxa"/>
          </w:tcPr>
          <w:p w:rsidR="00E57AE6" w:rsidRDefault="00E57AE6" w:rsidP="004D4BD6">
            <w:pPr>
              <w:jc w:val="center"/>
              <w:rPr>
                <w:rFonts w:ascii="Times New Roman" w:hAnsi="Times New Roman"/>
                <w:sz w:val="24"/>
                <w:szCs w:val="24"/>
              </w:rPr>
            </w:pP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23</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24</w:t>
            </w:r>
          </w:p>
        </w:tc>
        <w:tc>
          <w:tcPr>
            <w:tcW w:w="1056" w:type="dxa"/>
          </w:tcPr>
          <w:p w:rsidR="00E57AE6" w:rsidRDefault="00E57AE6" w:rsidP="004D4BD6">
            <w:pPr>
              <w:jc w:val="center"/>
              <w:rPr>
                <w:rFonts w:ascii="Times New Roman" w:hAnsi="Times New Roman"/>
                <w:sz w:val="24"/>
                <w:szCs w:val="24"/>
              </w:rPr>
            </w:pPr>
          </w:p>
        </w:tc>
        <w:tc>
          <w:tcPr>
            <w:tcW w:w="1056" w:type="dxa"/>
          </w:tcPr>
          <w:p w:rsidR="00E57AE6" w:rsidRDefault="00E57AE6" w:rsidP="004D4BD6">
            <w:pPr>
              <w:jc w:val="center"/>
              <w:rPr>
                <w:rFonts w:ascii="Times New Roman" w:hAnsi="Times New Roman"/>
                <w:sz w:val="24"/>
                <w:szCs w:val="24"/>
              </w:rPr>
            </w:pPr>
          </w:p>
        </w:tc>
        <w:tc>
          <w:tcPr>
            <w:tcW w:w="1056" w:type="dxa"/>
          </w:tcPr>
          <w:p w:rsidR="00E57AE6" w:rsidRDefault="00E57AE6" w:rsidP="004D4BD6">
            <w:pPr>
              <w:jc w:val="center"/>
              <w:rPr>
                <w:rFonts w:ascii="Times New Roman" w:hAnsi="Times New Roman"/>
                <w:sz w:val="24"/>
                <w:szCs w:val="24"/>
              </w:rPr>
            </w:pPr>
          </w:p>
        </w:tc>
      </w:tr>
      <w:tr w:rsidR="004D4BD6" w:rsidTr="004D4BD6">
        <w:trPr>
          <w:trHeight w:val="757"/>
        </w:trPr>
        <w:tc>
          <w:tcPr>
            <w:tcW w:w="570" w:type="dxa"/>
          </w:tcPr>
          <w:p w:rsidR="00E57AE6" w:rsidRDefault="00E57AE6" w:rsidP="00FE1BAF">
            <w:pPr>
              <w:rPr>
                <w:rFonts w:ascii="Times New Roman" w:hAnsi="Times New Roman"/>
                <w:sz w:val="24"/>
                <w:szCs w:val="24"/>
              </w:rPr>
            </w:pPr>
            <w:r>
              <w:rPr>
                <w:rFonts w:ascii="Times New Roman" w:hAnsi="Times New Roman"/>
                <w:sz w:val="24"/>
                <w:szCs w:val="24"/>
              </w:rPr>
              <w:lastRenderedPageBreak/>
              <w:t>2</w:t>
            </w:r>
          </w:p>
        </w:tc>
        <w:tc>
          <w:tcPr>
            <w:tcW w:w="2119" w:type="dxa"/>
          </w:tcPr>
          <w:p w:rsidR="004D4BD6" w:rsidRDefault="004D4BD6" w:rsidP="00FE1BAF">
            <w:pPr>
              <w:rPr>
                <w:rFonts w:ascii="Times New Roman" w:hAnsi="Times New Roman"/>
                <w:sz w:val="24"/>
                <w:szCs w:val="24"/>
              </w:rPr>
            </w:pPr>
            <w:r>
              <w:rPr>
                <w:rFonts w:ascii="Times New Roman" w:hAnsi="Times New Roman"/>
                <w:sz w:val="24"/>
                <w:szCs w:val="24"/>
              </w:rPr>
              <w:t>Construction of works on land</w:t>
            </w:r>
          </w:p>
        </w:tc>
        <w:tc>
          <w:tcPr>
            <w:tcW w:w="1377" w:type="dxa"/>
          </w:tcPr>
          <w:p w:rsidR="00E57AE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930</w:t>
            </w:r>
          </w:p>
        </w:tc>
        <w:tc>
          <w:tcPr>
            <w:tcW w:w="1116" w:type="dxa"/>
          </w:tcPr>
          <w:p w:rsidR="00E57AE6" w:rsidRDefault="004D4BD6" w:rsidP="004D4BD6">
            <w:pPr>
              <w:jc w:val="center"/>
              <w:rPr>
                <w:rFonts w:ascii="Times New Roman" w:hAnsi="Times New Roman"/>
                <w:sz w:val="24"/>
                <w:szCs w:val="24"/>
              </w:rPr>
            </w:pPr>
            <w:r>
              <w:rPr>
                <w:rFonts w:ascii="Times New Roman" w:hAnsi="Times New Roman"/>
                <w:sz w:val="24"/>
                <w:szCs w:val="24"/>
              </w:rPr>
              <w:t>55</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175</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175</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175</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175</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175</w:t>
            </w:r>
          </w:p>
        </w:tc>
      </w:tr>
      <w:tr w:rsidR="004D4BD6" w:rsidTr="004D4BD6">
        <w:trPr>
          <w:trHeight w:val="757"/>
        </w:trPr>
        <w:tc>
          <w:tcPr>
            <w:tcW w:w="570" w:type="dxa"/>
          </w:tcPr>
          <w:p w:rsidR="00E57AE6" w:rsidRDefault="00E57AE6" w:rsidP="00FE1BAF">
            <w:pPr>
              <w:rPr>
                <w:rFonts w:ascii="Times New Roman" w:hAnsi="Times New Roman"/>
                <w:sz w:val="24"/>
                <w:szCs w:val="24"/>
              </w:rPr>
            </w:pPr>
            <w:r>
              <w:rPr>
                <w:rFonts w:ascii="Times New Roman" w:hAnsi="Times New Roman"/>
                <w:sz w:val="24"/>
                <w:szCs w:val="24"/>
              </w:rPr>
              <w:t>3</w:t>
            </w:r>
          </w:p>
        </w:tc>
        <w:tc>
          <w:tcPr>
            <w:tcW w:w="2119" w:type="dxa"/>
          </w:tcPr>
          <w:p w:rsidR="00E57AE6" w:rsidRDefault="004D4BD6" w:rsidP="00FE1BAF">
            <w:pPr>
              <w:rPr>
                <w:rFonts w:ascii="Times New Roman" w:hAnsi="Times New Roman"/>
                <w:sz w:val="24"/>
                <w:szCs w:val="24"/>
              </w:rPr>
            </w:pPr>
            <w:r>
              <w:rPr>
                <w:rFonts w:ascii="Times New Roman" w:hAnsi="Times New Roman"/>
                <w:sz w:val="24"/>
                <w:szCs w:val="24"/>
              </w:rPr>
              <w:t>Management costs</w:t>
            </w:r>
          </w:p>
        </w:tc>
        <w:tc>
          <w:tcPr>
            <w:tcW w:w="1377" w:type="dxa"/>
          </w:tcPr>
          <w:p w:rsidR="00E57AE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28</w:t>
            </w:r>
          </w:p>
        </w:tc>
        <w:tc>
          <w:tcPr>
            <w:tcW w:w="1116" w:type="dxa"/>
          </w:tcPr>
          <w:p w:rsidR="00E57AE6" w:rsidRDefault="004D4BD6" w:rsidP="004D4BD6">
            <w:pPr>
              <w:jc w:val="center"/>
              <w:rPr>
                <w:rFonts w:ascii="Times New Roman" w:hAnsi="Times New Roman"/>
                <w:sz w:val="24"/>
                <w:szCs w:val="24"/>
              </w:rPr>
            </w:pPr>
            <w:r>
              <w:rPr>
                <w:rFonts w:ascii="Times New Roman" w:hAnsi="Times New Roman"/>
                <w:sz w:val="24"/>
                <w:szCs w:val="24"/>
              </w:rPr>
              <w:t>3</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4</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4</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5</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6</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6</w:t>
            </w:r>
          </w:p>
        </w:tc>
      </w:tr>
      <w:tr w:rsidR="004D4BD6" w:rsidTr="004D4BD6">
        <w:trPr>
          <w:trHeight w:val="757"/>
        </w:trPr>
        <w:tc>
          <w:tcPr>
            <w:tcW w:w="570" w:type="dxa"/>
          </w:tcPr>
          <w:p w:rsidR="00E57AE6" w:rsidRDefault="00E57AE6" w:rsidP="00FE1BAF">
            <w:pPr>
              <w:rPr>
                <w:rFonts w:ascii="Times New Roman" w:hAnsi="Times New Roman"/>
                <w:sz w:val="24"/>
                <w:szCs w:val="24"/>
              </w:rPr>
            </w:pPr>
            <w:r>
              <w:rPr>
                <w:rFonts w:ascii="Times New Roman" w:hAnsi="Times New Roman"/>
                <w:sz w:val="24"/>
                <w:szCs w:val="24"/>
              </w:rPr>
              <w:t>4</w:t>
            </w:r>
          </w:p>
        </w:tc>
        <w:tc>
          <w:tcPr>
            <w:tcW w:w="2119" w:type="dxa"/>
          </w:tcPr>
          <w:p w:rsidR="00E57AE6" w:rsidRDefault="004D4BD6" w:rsidP="00FE1BAF">
            <w:pPr>
              <w:rPr>
                <w:rFonts w:ascii="Times New Roman" w:hAnsi="Times New Roman"/>
                <w:sz w:val="24"/>
                <w:szCs w:val="24"/>
              </w:rPr>
            </w:pPr>
            <w:r>
              <w:rPr>
                <w:rFonts w:ascii="Times New Roman" w:hAnsi="Times New Roman"/>
                <w:sz w:val="24"/>
                <w:szCs w:val="24"/>
              </w:rPr>
              <w:t>Other costs related to the project</w:t>
            </w:r>
          </w:p>
        </w:tc>
        <w:tc>
          <w:tcPr>
            <w:tcW w:w="1377" w:type="dxa"/>
          </w:tcPr>
          <w:p w:rsidR="00E57AE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435</w:t>
            </w:r>
          </w:p>
        </w:tc>
        <w:tc>
          <w:tcPr>
            <w:tcW w:w="1116" w:type="dxa"/>
          </w:tcPr>
          <w:p w:rsidR="00E57AE6" w:rsidRDefault="004D4BD6" w:rsidP="004D4BD6">
            <w:pPr>
              <w:jc w:val="center"/>
              <w:rPr>
                <w:rFonts w:ascii="Times New Roman" w:hAnsi="Times New Roman"/>
                <w:sz w:val="24"/>
                <w:szCs w:val="24"/>
              </w:rPr>
            </w:pPr>
            <w:r>
              <w:rPr>
                <w:rFonts w:ascii="Times New Roman" w:hAnsi="Times New Roman"/>
                <w:sz w:val="24"/>
                <w:szCs w:val="24"/>
              </w:rPr>
              <w:t>63.5</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100</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34</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177</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50.5</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10</w:t>
            </w:r>
          </w:p>
        </w:tc>
      </w:tr>
      <w:tr w:rsidR="004D4BD6" w:rsidTr="004D4BD6">
        <w:trPr>
          <w:trHeight w:val="757"/>
        </w:trPr>
        <w:tc>
          <w:tcPr>
            <w:tcW w:w="570" w:type="dxa"/>
          </w:tcPr>
          <w:p w:rsidR="00E57AE6" w:rsidRDefault="004D4BD6" w:rsidP="00FE1BAF">
            <w:pPr>
              <w:rPr>
                <w:rFonts w:ascii="Times New Roman" w:hAnsi="Times New Roman"/>
                <w:sz w:val="24"/>
                <w:szCs w:val="24"/>
              </w:rPr>
            </w:pPr>
            <w:r>
              <w:rPr>
                <w:rFonts w:ascii="Times New Roman" w:hAnsi="Times New Roman"/>
                <w:sz w:val="24"/>
                <w:szCs w:val="24"/>
              </w:rPr>
              <w:t>-</w:t>
            </w:r>
          </w:p>
        </w:tc>
        <w:tc>
          <w:tcPr>
            <w:tcW w:w="2119" w:type="dxa"/>
          </w:tcPr>
          <w:p w:rsidR="00E57AE6" w:rsidRPr="004D4BD6" w:rsidRDefault="004D4BD6" w:rsidP="00FE1BAF">
            <w:pPr>
              <w:rPr>
                <w:rFonts w:ascii="Times New Roman" w:hAnsi="Times New Roman"/>
                <w:i/>
                <w:sz w:val="24"/>
                <w:szCs w:val="24"/>
              </w:rPr>
            </w:pPr>
            <w:r>
              <w:rPr>
                <w:rFonts w:ascii="Times New Roman" w:hAnsi="Times New Roman"/>
                <w:i/>
                <w:sz w:val="24"/>
                <w:szCs w:val="24"/>
              </w:rPr>
              <w:t>Pay the rental of project land</w:t>
            </w:r>
          </w:p>
        </w:tc>
        <w:tc>
          <w:tcPr>
            <w:tcW w:w="1377" w:type="dxa"/>
          </w:tcPr>
          <w:p w:rsidR="00E57AE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275</w:t>
            </w:r>
          </w:p>
        </w:tc>
        <w:tc>
          <w:tcPr>
            <w:tcW w:w="1116" w:type="dxa"/>
          </w:tcPr>
          <w:p w:rsidR="00E57AE6" w:rsidRDefault="004D4BD6" w:rsidP="004D4BD6">
            <w:pPr>
              <w:jc w:val="center"/>
              <w:rPr>
                <w:rFonts w:ascii="Times New Roman" w:hAnsi="Times New Roman"/>
                <w:sz w:val="24"/>
                <w:szCs w:val="24"/>
              </w:rPr>
            </w:pPr>
            <w:r>
              <w:rPr>
                <w:rFonts w:ascii="Times New Roman" w:hAnsi="Times New Roman"/>
                <w:sz w:val="24"/>
                <w:szCs w:val="24"/>
              </w:rPr>
              <w:t>-</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100</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30</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100</w:t>
            </w:r>
          </w:p>
        </w:tc>
        <w:tc>
          <w:tcPr>
            <w:tcW w:w="1056" w:type="dxa"/>
          </w:tcPr>
          <w:p w:rsidR="00E57AE6" w:rsidRDefault="004D4BD6" w:rsidP="004D4BD6">
            <w:pPr>
              <w:jc w:val="center"/>
              <w:rPr>
                <w:rFonts w:ascii="Times New Roman" w:hAnsi="Times New Roman"/>
                <w:sz w:val="24"/>
                <w:szCs w:val="24"/>
              </w:rPr>
            </w:pPr>
            <w:r>
              <w:rPr>
                <w:rFonts w:ascii="Times New Roman" w:hAnsi="Times New Roman"/>
                <w:sz w:val="24"/>
                <w:szCs w:val="24"/>
              </w:rPr>
              <w:t>45</w:t>
            </w:r>
          </w:p>
        </w:tc>
        <w:tc>
          <w:tcPr>
            <w:tcW w:w="1056" w:type="dxa"/>
          </w:tcPr>
          <w:p w:rsidR="00E57AE6" w:rsidRDefault="00E57AE6" w:rsidP="004D4BD6">
            <w:pPr>
              <w:jc w:val="center"/>
              <w:rPr>
                <w:rFonts w:ascii="Times New Roman" w:hAnsi="Times New Roman"/>
                <w:sz w:val="24"/>
                <w:szCs w:val="24"/>
              </w:rPr>
            </w:pPr>
          </w:p>
        </w:tc>
      </w:tr>
      <w:tr w:rsidR="004D4BD6" w:rsidTr="004D4BD6">
        <w:trPr>
          <w:trHeight w:val="757"/>
        </w:trPr>
        <w:tc>
          <w:tcPr>
            <w:tcW w:w="570" w:type="dxa"/>
          </w:tcPr>
          <w:p w:rsidR="004D4BD6" w:rsidRDefault="004D4BD6" w:rsidP="004D4BD6">
            <w:pPr>
              <w:rPr>
                <w:rFonts w:ascii="Times New Roman" w:hAnsi="Times New Roman"/>
                <w:sz w:val="24"/>
                <w:szCs w:val="24"/>
              </w:rPr>
            </w:pPr>
            <w:r>
              <w:rPr>
                <w:rFonts w:ascii="Times New Roman" w:hAnsi="Times New Roman"/>
                <w:sz w:val="24"/>
                <w:szCs w:val="24"/>
              </w:rPr>
              <w:t>-</w:t>
            </w:r>
          </w:p>
        </w:tc>
        <w:tc>
          <w:tcPr>
            <w:tcW w:w="2119" w:type="dxa"/>
          </w:tcPr>
          <w:p w:rsidR="004D4BD6" w:rsidRPr="004D4BD6" w:rsidRDefault="004D4BD6" w:rsidP="004D4BD6">
            <w:pPr>
              <w:rPr>
                <w:rFonts w:ascii="Times New Roman" w:hAnsi="Times New Roman"/>
                <w:i/>
                <w:sz w:val="24"/>
                <w:szCs w:val="24"/>
              </w:rPr>
            </w:pPr>
            <w:r w:rsidRPr="004D4BD6">
              <w:rPr>
                <w:rFonts w:ascii="Times New Roman" w:hAnsi="Times New Roman"/>
                <w:i/>
                <w:sz w:val="24"/>
                <w:szCs w:val="24"/>
              </w:rPr>
              <w:t>Pay the interest on bonds</w:t>
            </w:r>
          </w:p>
        </w:tc>
        <w:tc>
          <w:tcPr>
            <w:tcW w:w="1377"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66</w:t>
            </w:r>
          </w:p>
        </w:tc>
        <w:tc>
          <w:tcPr>
            <w:tcW w:w="1116" w:type="dxa"/>
          </w:tcPr>
          <w:p w:rsidR="004D4BD6" w:rsidRDefault="004D4BD6" w:rsidP="004D4BD6">
            <w:pPr>
              <w:jc w:val="center"/>
            </w:pPr>
            <w:r w:rsidRPr="00B47FF7">
              <w:rPr>
                <w:rFonts w:ascii="Times New Roman" w:hAnsi="Times New Roman"/>
                <w:sz w:val="24"/>
                <w:szCs w:val="24"/>
              </w:rPr>
              <w:t>-</w:t>
            </w:r>
          </w:p>
        </w:tc>
        <w:tc>
          <w:tcPr>
            <w:tcW w:w="1056" w:type="dxa"/>
          </w:tcPr>
          <w:p w:rsidR="004D4BD6" w:rsidRDefault="004D4BD6" w:rsidP="004D4BD6">
            <w:pPr>
              <w:jc w:val="center"/>
            </w:pPr>
            <w:r w:rsidRPr="00B47FF7">
              <w:rPr>
                <w:rFonts w:ascii="Times New Roman" w:hAnsi="Times New Roman"/>
                <w:sz w:val="24"/>
                <w:szCs w:val="24"/>
              </w:rPr>
              <w:t>-</w:t>
            </w:r>
          </w:p>
        </w:tc>
        <w:tc>
          <w:tcPr>
            <w:tcW w:w="1056" w:type="dxa"/>
          </w:tcPr>
          <w:p w:rsidR="004D4BD6" w:rsidRDefault="004D4BD6" w:rsidP="004D4BD6">
            <w:pPr>
              <w:jc w:val="center"/>
            </w:pPr>
            <w:r w:rsidRPr="00B47FF7">
              <w:rPr>
                <w:rFonts w:ascii="Times New Roman" w:hAnsi="Times New Roman"/>
                <w:sz w:val="24"/>
                <w:szCs w:val="24"/>
              </w:rPr>
              <w:t>-</w:t>
            </w:r>
          </w:p>
        </w:tc>
        <w:tc>
          <w:tcPr>
            <w:tcW w:w="1056" w:type="dxa"/>
          </w:tcPr>
          <w:p w:rsidR="004D4BD6" w:rsidRDefault="004D4BD6" w:rsidP="004D4BD6">
            <w:pPr>
              <w:jc w:val="center"/>
              <w:rPr>
                <w:rFonts w:ascii="Times New Roman" w:hAnsi="Times New Roman"/>
                <w:sz w:val="24"/>
                <w:szCs w:val="24"/>
              </w:rPr>
            </w:pPr>
            <w:r>
              <w:rPr>
                <w:rFonts w:ascii="Times New Roman" w:hAnsi="Times New Roman"/>
                <w:sz w:val="24"/>
                <w:szCs w:val="24"/>
              </w:rPr>
              <w:t>66</w:t>
            </w:r>
          </w:p>
        </w:tc>
        <w:tc>
          <w:tcPr>
            <w:tcW w:w="1056" w:type="dxa"/>
          </w:tcPr>
          <w:p w:rsidR="004D4BD6" w:rsidRDefault="004D4BD6" w:rsidP="004D4BD6">
            <w:pPr>
              <w:jc w:val="center"/>
            </w:pPr>
            <w:r w:rsidRPr="00CD0215">
              <w:rPr>
                <w:rFonts w:ascii="Times New Roman" w:hAnsi="Times New Roman"/>
                <w:sz w:val="24"/>
                <w:szCs w:val="24"/>
              </w:rPr>
              <w:t>-</w:t>
            </w:r>
          </w:p>
        </w:tc>
        <w:tc>
          <w:tcPr>
            <w:tcW w:w="1056" w:type="dxa"/>
          </w:tcPr>
          <w:p w:rsidR="004D4BD6" w:rsidRDefault="004D4BD6" w:rsidP="004D4BD6">
            <w:pPr>
              <w:jc w:val="center"/>
            </w:pPr>
            <w:r w:rsidRPr="00CD0215">
              <w:rPr>
                <w:rFonts w:ascii="Times New Roman" w:hAnsi="Times New Roman"/>
                <w:sz w:val="24"/>
                <w:szCs w:val="24"/>
              </w:rPr>
              <w:t>-</w:t>
            </w:r>
          </w:p>
        </w:tc>
      </w:tr>
      <w:tr w:rsidR="004D4BD6" w:rsidTr="004D4BD6">
        <w:trPr>
          <w:trHeight w:val="779"/>
        </w:trPr>
        <w:tc>
          <w:tcPr>
            <w:tcW w:w="570" w:type="dxa"/>
          </w:tcPr>
          <w:p w:rsidR="004D4BD6" w:rsidRDefault="004D4BD6" w:rsidP="004D4BD6">
            <w:r w:rsidRPr="0043034E">
              <w:rPr>
                <w:rFonts w:ascii="Times New Roman" w:hAnsi="Times New Roman"/>
                <w:sz w:val="24"/>
                <w:szCs w:val="24"/>
              </w:rPr>
              <w:t>-</w:t>
            </w:r>
          </w:p>
        </w:tc>
        <w:tc>
          <w:tcPr>
            <w:tcW w:w="2119" w:type="dxa"/>
          </w:tcPr>
          <w:p w:rsidR="004D4BD6" w:rsidRPr="004D4BD6" w:rsidRDefault="004D4BD6" w:rsidP="004D4BD6">
            <w:pPr>
              <w:rPr>
                <w:rFonts w:ascii="Times New Roman" w:hAnsi="Times New Roman"/>
                <w:i/>
                <w:sz w:val="24"/>
                <w:szCs w:val="24"/>
              </w:rPr>
            </w:pPr>
            <w:r w:rsidRPr="004D4BD6">
              <w:rPr>
                <w:rFonts w:ascii="Times New Roman" w:hAnsi="Times New Roman"/>
                <w:i/>
                <w:sz w:val="24"/>
                <w:szCs w:val="24"/>
              </w:rPr>
              <w:t>Repay the loan</w:t>
            </w:r>
          </w:p>
        </w:tc>
        <w:tc>
          <w:tcPr>
            <w:tcW w:w="1377"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74</w:t>
            </w:r>
          </w:p>
        </w:tc>
        <w:tc>
          <w:tcPr>
            <w:tcW w:w="1116" w:type="dxa"/>
          </w:tcPr>
          <w:p w:rsidR="004D4BD6" w:rsidRDefault="004D4BD6" w:rsidP="004D4BD6">
            <w:pPr>
              <w:jc w:val="center"/>
              <w:rPr>
                <w:rFonts w:ascii="Times New Roman" w:hAnsi="Times New Roman"/>
                <w:sz w:val="24"/>
                <w:szCs w:val="24"/>
              </w:rPr>
            </w:pPr>
            <w:r>
              <w:rPr>
                <w:rFonts w:ascii="Times New Roman" w:hAnsi="Times New Roman"/>
                <w:sz w:val="24"/>
                <w:szCs w:val="24"/>
              </w:rPr>
              <w:t>63</w:t>
            </w:r>
          </w:p>
        </w:tc>
        <w:tc>
          <w:tcPr>
            <w:tcW w:w="1056" w:type="dxa"/>
          </w:tcPr>
          <w:p w:rsidR="004D4BD6" w:rsidRDefault="004D4BD6" w:rsidP="004D4BD6">
            <w:pPr>
              <w:jc w:val="center"/>
            </w:pPr>
            <w:r w:rsidRPr="00B95092">
              <w:rPr>
                <w:rFonts w:ascii="Times New Roman" w:hAnsi="Times New Roman"/>
                <w:sz w:val="24"/>
                <w:szCs w:val="24"/>
              </w:rPr>
              <w:t>-</w:t>
            </w:r>
          </w:p>
        </w:tc>
        <w:tc>
          <w:tcPr>
            <w:tcW w:w="1056" w:type="dxa"/>
          </w:tcPr>
          <w:p w:rsidR="004D4BD6" w:rsidRDefault="004D4BD6" w:rsidP="004D4BD6">
            <w:pPr>
              <w:jc w:val="center"/>
            </w:pPr>
            <w:r w:rsidRPr="00B95092">
              <w:rPr>
                <w:rFonts w:ascii="Times New Roman" w:hAnsi="Times New Roman"/>
                <w:sz w:val="24"/>
                <w:szCs w:val="24"/>
              </w:rPr>
              <w:t>-</w:t>
            </w:r>
          </w:p>
        </w:tc>
        <w:tc>
          <w:tcPr>
            <w:tcW w:w="1056" w:type="dxa"/>
          </w:tcPr>
          <w:p w:rsidR="004D4BD6" w:rsidRDefault="004D4BD6" w:rsidP="004D4BD6">
            <w:pPr>
              <w:jc w:val="center"/>
              <w:rPr>
                <w:rFonts w:ascii="Times New Roman" w:hAnsi="Times New Roman"/>
                <w:sz w:val="24"/>
                <w:szCs w:val="24"/>
              </w:rPr>
            </w:pPr>
            <w:r>
              <w:rPr>
                <w:rFonts w:ascii="Times New Roman" w:hAnsi="Times New Roman"/>
                <w:sz w:val="24"/>
                <w:szCs w:val="24"/>
              </w:rPr>
              <w:t>11</w:t>
            </w:r>
          </w:p>
        </w:tc>
        <w:tc>
          <w:tcPr>
            <w:tcW w:w="1056" w:type="dxa"/>
          </w:tcPr>
          <w:p w:rsidR="004D4BD6" w:rsidRDefault="004D4BD6" w:rsidP="004D4BD6">
            <w:pPr>
              <w:jc w:val="center"/>
            </w:pPr>
            <w:r w:rsidRPr="00942EA9">
              <w:rPr>
                <w:rFonts w:ascii="Times New Roman" w:hAnsi="Times New Roman"/>
                <w:sz w:val="24"/>
                <w:szCs w:val="24"/>
              </w:rPr>
              <w:t>-</w:t>
            </w:r>
          </w:p>
        </w:tc>
        <w:tc>
          <w:tcPr>
            <w:tcW w:w="1056" w:type="dxa"/>
          </w:tcPr>
          <w:p w:rsidR="004D4BD6" w:rsidRDefault="004D4BD6" w:rsidP="004D4BD6">
            <w:pPr>
              <w:jc w:val="center"/>
            </w:pPr>
            <w:r w:rsidRPr="00942EA9">
              <w:rPr>
                <w:rFonts w:ascii="Times New Roman" w:hAnsi="Times New Roman"/>
                <w:sz w:val="24"/>
                <w:szCs w:val="24"/>
              </w:rPr>
              <w:t>-</w:t>
            </w:r>
          </w:p>
        </w:tc>
      </w:tr>
      <w:tr w:rsidR="004D4BD6" w:rsidTr="004D4BD6">
        <w:trPr>
          <w:trHeight w:val="757"/>
        </w:trPr>
        <w:tc>
          <w:tcPr>
            <w:tcW w:w="570" w:type="dxa"/>
          </w:tcPr>
          <w:p w:rsidR="004D4BD6" w:rsidRDefault="004D4BD6" w:rsidP="004D4BD6">
            <w:r w:rsidRPr="0043034E">
              <w:rPr>
                <w:rFonts w:ascii="Times New Roman" w:hAnsi="Times New Roman"/>
                <w:sz w:val="24"/>
                <w:szCs w:val="24"/>
              </w:rPr>
              <w:t>-</w:t>
            </w:r>
          </w:p>
        </w:tc>
        <w:tc>
          <w:tcPr>
            <w:tcW w:w="2119" w:type="dxa"/>
          </w:tcPr>
          <w:p w:rsidR="004D4BD6" w:rsidRPr="004D4BD6" w:rsidRDefault="004D4BD6" w:rsidP="004D4BD6">
            <w:pPr>
              <w:rPr>
                <w:rFonts w:ascii="Times New Roman" w:hAnsi="Times New Roman"/>
                <w:i/>
                <w:sz w:val="24"/>
                <w:szCs w:val="24"/>
              </w:rPr>
            </w:pPr>
            <w:r w:rsidRPr="004D4BD6">
              <w:rPr>
                <w:rFonts w:ascii="Times New Roman" w:hAnsi="Times New Roman"/>
                <w:i/>
                <w:sz w:val="24"/>
                <w:szCs w:val="24"/>
              </w:rPr>
              <w:t>Pay the interest of bank loan</w:t>
            </w:r>
          </w:p>
        </w:tc>
        <w:tc>
          <w:tcPr>
            <w:tcW w:w="1377"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20</w:t>
            </w:r>
          </w:p>
        </w:tc>
        <w:tc>
          <w:tcPr>
            <w:tcW w:w="1116" w:type="dxa"/>
          </w:tcPr>
          <w:p w:rsidR="004D4BD6" w:rsidRDefault="004D4BD6" w:rsidP="004D4BD6">
            <w:pPr>
              <w:jc w:val="center"/>
              <w:rPr>
                <w:rFonts w:ascii="Times New Roman" w:hAnsi="Times New Roman"/>
                <w:sz w:val="24"/>
                <w:szCs w:val="24"/>
              </w:rPr>
            </w:pPr>
            <w:r>
              <w:rPr>
                <w:rFonts w:ascii="Times New Roman" w:hAnsi="Times New Roman"/>
                <w:sz w:val="24"/>
                <w:szCs w:val="24"/>
              </w:rPr>
              <w:t>0.5</w:t>
            </w:r>
          </w:p>
        </w:tc>
        <w:tc>
          <w:tcPr>
            <w:tcW w:w="1056" w:type="dxa"/>
          </w:tcPr>
          <w:p w:rsidR="004D4BD6" w:rsidRDefault="004D4BD6" w:rsidP="004D4BD6">
            <w:pPr>
              <w:jc w:val="center"/>
              <w:rPr>
                <w:rFonts w:ascii="Times New Roman" w:hAnsi="Times New Roman"/>
                <w:sz w:val="24"/>
                <w:szCs w:val="24"/>
              </w:rPr>
            </w:pPr>
            <w:r>
              <w:rPr>
                <w:rFonts w:ascii="Times New Roman" w:hAnsi="Times New Roman"/>
                <w:sz w:val="24"/>
                <w:szCs w:val="24"/>
              </w:rPr>
              <w:t>-</w:t>
            </w:r>
          </w:p>
        </w:tc>
        <w:tc>
          <w:tcPr>
            <w:tcW w:w="1056" w:type="dxa"/>
          </w:tcPr>
          <w:p w:rsidR="004D4BD6" w:rsidRDefault="004D4BD6" w:rsidP="004D4BD6">
            <w:pPr>
              <w:jc w:val="center"/>
              <w:rPr>
                <w:rFonts w:ascii="Times New Roman" w:hAnsi="Times New Roman"/>
                <w:sz w:val="24"/>
                <w:szCs w:val="24"/>
              </w:rPr>
            </w:pPr>
            <w:r>
              <w:rPr>
                <w:rFonts w:ascii="Times New Roman" w:hAnsi="Times New Roman"/>
                <w:sz w:val="24"/>
                <w:szCs w:val="24"/>
              </w:rPr>
              <w:t>4</w:t>
            </w:r>
          </w:p>
        </w:tc>
        <w:tc>
          <w:tcPr>
            <w:tcW w:w="1056" w:type="dxa"/>
          </w:tcPr>
          <w:p w:rsidR="004D4BD6" w:rsidRDefault="004D4BD6" w:rsidP="004D4BD6">
            <w:pPr>
              <w:jc w:val="center"/>
              <w:rPr>
                <w:rFonts w:ascii="Times New Roman" w:hAnsi="Times New Roman"/>
                <w:sz w:val="24"/>
                <w:szCs w:val="24"/>
              </w:rPr>
            </w:pPr>
            <w:r>
              <w:rPr>
                <w:rFonts w:ascii="Times New Roman" w:hAnsi="Times New Roman"/>
                <w:sz w:val="24"/>
                <w:szCs w:val="24"/>
              </w:rPr>
              <w:t>-</w:t>
            </w:r>
          </w:p>
        </w:tc>
        <w:tc>
          <w:tcPr>
            <w:tcW w:w="1056" w:type="dxa"/>
          </w:tcPr>
          <w:p w:rsidR="004D4BD6" w:rsidRDefault="004D4BD6" w:rsidP="004D4BD6">
            <w:pPr>
              <w:jc w:val="center"/>
              <w:rPr>
                <w:rFonts w:ascii="Times New Roman" w:hAnsi="Times New Roman"/>
                <w:sz w:val="24"/>
                <w:szCs w:val="24"/>
              </w:rPr>
            </w:pPr>
            <w:r>
              <w:rPr>
                <w:rFonts w:ascii="Times New Roman" w:hAnsi="Times New Roman"/>
                <w:sz w:val="24"/>
                <w:szCs w:val="24"/>
              </w:rPr>
              <w:t>5.5</w:t>
            </w:r>
          </w:p>
        </w:tc>
        <w:tc>
          <w:tcPr>
            <w:tcW w:w="1056" w:type="dxa"/>
          </w:tcPr>
          <w:p w:rsidR="004D4BD6" w:rsidRDefault="004D4BD6" w:rsidP="004D4BD6">
            <w:pPr>
              <w:jc w:val="center"/>
              <w:rPr>
                <w:rFonts w:ascii="Times New Roman" w:hAnsi="Times New Roman"/>
                <w:sz w:val="24"/>
                <w:szCs w:val="24"/>
              </w:rPr>
            </w:pPr>
            <w:r>
              <w:rPr>
                <w:rFonts w:ascii="Times New Roman" w:hAnsi="Times New Roman"/>
                <w:sz w:val="24"/>
                <w:szCs w:val="24"/>
              </w:rPr>
              <w:t>10</w:t>
            </w:r>
          </w:p>
        </w:tc>
      </w:tr>
      <w:tr w:rsidR="004D4BD6" w:rsidTr="00335620">
        <w:trPr>
          <w:trHeight w:val="757"/>
        </w:trPr>
        <w:tc>
          <w:tcPr>
            <w:tcW w:w="2689" w:type="dxa"/>
            <w:gridSpan w:val="2"/>
          </w:tcPr>
          <w:p w:rsidR="004D4BD6" w:rsidRPr="004D4BD6" w:rsidRDefault="004D4BD6" w:rsidP="004D4BD6">
            <w:pPr>
              <w:jc w:val="center"/>
              <w:rPr>
                <w:rFonts w:ascii="Times New Roman" w:hAnsi="Times New Roman"/>
                <w:b/>
                <w:sz w:val="24"/>
                <w:szCs w:val="24"/>
              </w:rPr>
            </w:pPr>
            <w:r>
              <w:rPr>
                <w:rFonts w:ascii="Times New Roman" w:hAnsi="Times New Roman"/>
                <w:b/>
                <w:sz w:val="24"/>
                <w:szCs w:val="24"/>
              </w:rPr>
              <w:t>Total (1+2+3+4)</w:t>
            </w:r>
          </w:p>
        </w:tc>
        <w:tc>
          <w:tcPr>
            <w:tcW w:w="1377"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1,440</w:t>
            </w:r>
          </w:p>
        </w:tc>
        <w:tc>
          <w:tcPr>
            <w:tcW w:w="1116"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121.5</w:t>
            </w:r>
          </w:p>
        </w:tc>
        <w:tc>
          <w:tcPr>
            <w:tcW w:w="1056"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302</w:t>
            </w:r>
          </w:p>
        </w:tc>
        <w:tc>
          <w:tcPr>
            <w:tcW w:w="1056"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237</w:t>
            </w:r>
          </w:p>
        </w:tc>
        <w:tc>
          <w:tcPr>
            <w:tcW w:w="1056"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357</w:t>
            </w:r>
          </w:p>
        </w:tc>
        <w:tc>
          <w:tcPr>
            <w:tcW w:w="1056"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231.5</w:t>
            </w:r>
          </w:p>
        </w:tc>
        <w:tc>
          <w:tcPr>
            <w:tcW w:w="1056" w:type="dxa"/>
          </w:tcPr>
          <w:p w:rsidR="004D4BD6" w:rsidRPr="004D4BD6" w:rsidRDefault="004D4BD6" w:rsidP="004D4BD6">
            <w:pPr>
              <w:jc w:val="center"/>
              <w:rPr>
                <w:rFonts w:ascii="Times New Roman" w:hAnsi="Times New Roman"/>
                <w:b/>
                <w:sz w:val="24"/>
                <w:szCs w:val="24"/>
              </w:rPr>
            </w:pPr>
            <w:r w:rsidRPr="004D4BD6">
              <w:rPr>
                <w:rFonts w:ascii="Times New Roman" w:hAnsi="Times New Roman"/>
                <w:b/>
                <w:sz w:val="24"/>
                <w:szCs w:val="24"/>
              </w:rPr>
              <w:t>191</w:t>
            </w:r>
          </w:p>
        </w:tc>
      </w:tr>
    </w:tbl>
    <w:p w:rsidR="00FE1BAF" w:rsidRPr="005F138D" w:rsidRDefault="00FE1BAF" w:rsidP="00FE1BAF">
      <w:pPr>
        <w:rPr>
          <w:rFonts w:ascii="Times New Roman" w:hAnsi="Times New Roman"/>
          <w:sz w:val="24"/>
          <w:szCs w:val="24"/>
        </w:rPr>
      </w:pPr>
    </w:p>
    <w:p w:rsidR="004D4BD6" w:rsidRDefault="00FE1BAF" w:rsidP="00FE1BAF">
      <w:pPr>
        <w:rPr>
          <w:rFonts w:ascii="Times New Roman" w:hAnsi="Times New Roman"/>
          <w:sz w:val="24"/>
          <w:szCs w:val="24"/>
        </w:rPr>
      </w:pPr>
      <w:r w:rsidRPr="005F138D">
        <w:rPr>
          <w:rFonts w:ascii="Times New Roman" w:hAnsi="Times New Roman"/>
          <w:sz w:val="24"/>
          <w:szCs w:val="24"/>
        </w:rPr>
        <w:t xml:space="preserve">Article 3: </w:t>
      </w:r>
      <w:r w:rsidR="004D4BD6">
        <w:rPr>
          <w:rFonts w:ascii="Times New Roman" w:hAnsi="Times New Roman"/>
          <w:sz w:val="24"/>
          <w:szCs w:val="24"/>
        </w:rPr>
        <w:t>Approve the increase of charter capital based on the successful offering; adjustment of the company’s charter about the charter capital and the procedures to change the content of business registration of the company related to the change of charter capital based on the results of successful offering.</w:t>
      </w:r>
    </w:p>
    <w:p w:rsidR="004D4BD6" w:rsidRPr="004D4BD6" w:rsidRDefault="004D4BD6" w:rsidP="004D4BD6">
      <w:pPr>
        <w:spacing w:after="0" w:line="360" w:lineRule="auto"/>
        <w:contextualSpacing/>
        <w:jc w:val="both"/>
        <w:rPr>
          <w:rFonts w:ascii="Times New Roman" w:hAnsi="Times New Roman"/>
          <w:sz w:val="24"/>
          <w:szCs w:val="24"/>
        </w:rPr>
      </w:pPr>
      <w:r>
        <w:rPr>
          <w:rFonts w:ascii="Times New Roman" w:hAnsi="Times New Roman"/>
          <w:sz w:val="24"/>
          <w:szCs w:val="24"/>
        </w:rPr>
        <w:t>Article 4:</w:t>
      </w:r>
      <w:r w:rsidRPr="004D4BD6">
        <w:rPr>
          <w:rFonts w:ascii="Times New Roman" w:hAnsi="Times New Roman"/>
          <w:sz w:val="24"/>
          <w:szCs w:val="24"/>
        </w:rPr>
        <w:t xml:space="preserve"> </w:t>
      </w:r>
      <w:r w:rsidRPr="004D4BD6">
        <w:rPr>
          <w:rFonts w:ascii="Times New Roman" w:hAnsi="Times New Roman"/>
          <w:sz w:val="24"/>
          <w:szCs w:val="24"/>
        </w:rPr>
        <w:t>Approve securities registration and additional listing of successfully offered shares.</w:t>
      </w:r>
    </w:p>
    <w:p w:rsidR="004D4BD6" w:rsidRPr="004D4BD6" w:rsidRDefault="004D4BD6" w:rsidP="004D4BD6">
      <w:pPr>
        <w:spacing w:after="0" w:line="360" w:lineRule="auto"/>
        <w:contextualSpacing/>
        <w:jc w:val="both"/>
        <w:rPr>
          <w:rFonts w:ascii="Times New Roman" w:hAnsi="Times New Roman"/>
          <w:sz w:val="24"/>
          <w:szCs w:val="24"/>
        </w:rPr>
      </w:pPr>
      <w:r w:rsidRPr="004D4BD6">
        <w:rPr>
          <w:rFonts w:ascii="Times New Roman" w:hAnsi="Times New Roman"/>
          <w:sz w:val="24"/>
          <w:szCs w:val="24"/>
        </w:rPr>
        <w:t xml:space="preserve">All shares successfully privately offered </w:t>
      </w:r>
      <w:proofErr w:type="gramStart"/>
      <w:r w:rsidRPr="004D4BD6">
        <w:rPr>
          <w:rFonts w:ascii="Times New Roman" w:hAnsi="Times New Roman"/>
          <w:sz w:val="24"/>
          <w:szCs w:val="24"/>
        </w:rPr>
        <w:t>will be registered for additional securities at the Vietnam Securities Depository and additionally listed on the Hanoi Stock Exchange in accordance with the law after completing the private placement</w:t>
      </w:r>
      <w:proofErr w:type="gramEnd"/>
      <w:r w:rsidRPr="004D4BD6">
        <w:rPr>
          <w:rFonts w:ascii="Times New Roman" w:hAnsi="Times New Roman"/>
          <w:sz w:val="24"/>
          <w:szCs w:val="24"/>
        </w:rPr>
        <w:t>.</w:t>
      </w:r>
    </w:p>
    <w:p w:rsidR="004D4BD6" w:rsidRDefault="004D4BD6" w:rsidP="00FE1BAF">
      <w:pPr>
        <w:rPr>
          <w:rFonts w:ascii="Times New Roman" w:hAnsi="Times New Roman"/>
          <w:sz w:val="24"/>
          <w:szCs w:val="24"/>
        </w:rPr>
      </w:pPr>
      <w:r w:rsidRPr="004D4BD6">
        <w:rPr>
          <w:rFonts w:ascii="Times New Roman" w:hAnsi="Times New Roman"/>
          <w:sz w:val="24"/>
          <w:szCs w:val="24"/>
        </w:rPr>
        <w:t>Article 5: Approve the supplement, adjustment to complete the plan on private placement based on the requirement of the State authorities.</w:t>
      </w:r>
    </w:p>
    <w:p w:rsidR="004D4BD6" w:rsidRDefault="004D4BD6" w:rsidP="00FE1BAF">
      <w:pPr>
        <w:rPr>
          <w:rFonts w:ascii="Times New Roman" w:hAnsi="Times New Roman"/>
          <w:sz w:val="24"/>
          <w:szCs w:val="24"/>
        </w:rPr>
      </w:pPr>
      <w:r>
        <w:rPr>
          <w:rFonts w:ascii="Times New Roman" w:hAnsi="Times New Roman"/>
          <w:sz w:val="24"/>
          <w:szCs w:val="24"/>
        </w:rPr>
        <w:t>Article 6: Approve the d</w:t>
      </w:r>
      <w:r w:rsidRPr="004D4BD6">
        <w:rPr>
          <w:rFonts w:ascii="Times New Roman" w:hAnsi="Times New Roman"/>
          <w:sz w:val="24"/>
          <w:szCs w:val="24"/>
        </w:rPr>
        <w:t>ocuments for private placement of shares sent to the State Securities Commission</w:t>
      </w:r>
    </w:p>
    <w:p w:rsidR="004D4BD6" w:rsidRPr="004D4BD6" w:rsidRDefault="004D4BD6" w:rsidP="00FE1BAF">
      <w:pPr>
        <w:rPr>
          <w:rFonts w:ascii="Times New Roman" w:hAnsi="Times New Roman"/>
          <w:sz w:val="24"/>
          <w:szCs w:val="24"/>
        </w:rPr>
      </w:pPr>
      <w:proofErr w:type="gramStart"/>
      <w:r>
        <w:rPr>
          <w:rFonts w:ascii="Times New Roman" w:hAnsi="Times New Roman"/>
          <w:sz w:val="24"/>
          <w:szCs w:val="24"/>
        </w:rPr>
        <w:t>Article 7:</w:t>
      </w:r>
      <w:r w:rsidR="009F063E" w:rsidRPr="009F063E">
        <w:rPr>
          <w:rFonts w:ascii="Times New Roman" w:hAnsi="Times New Roman"/>
          <w:sz w:val="24"/>
          <w:szCs w:val="24"/>
        </w:rPr>
        <w:t xml:space="preserve"> </w:t>
      </w:r>
      <w:r w:rsidR="009F063E" w:rsidRPr="009F063E">
        <w:rPr>
          <w:rFonts w:ascii="Times New Roman" w:hAnsi="Times New Roman"/>
          <w:sz w:val="24"/>
          <w:szCs w:val="24"/>
        </w:rPr>
        <w:t xml:space="preserve">Assign </w:t>
      </w:r>
      <w:r w:rsidR="009F063E" w:rsidRPr="009F063E">
        <w:rPr>
          <w:rFonts w:ascii="Times New Roman" w:hAnsi="Times New Roman"/>
          <w:sz w:val="24"/>
          <w:szCs w:val="24"/>
        </w:rPr>
        <w:t>General manager</w:t>
      </w:r>
      <w:r w:rsidR="009F063E" w:rsidRPr="009F063E">
        <w:rPr>
          <w:rFonts w:ascii="Times New Roman" w:hAnsi="Times New Roman"/>
          <w:sz w:val="24"/>
          <w:szCs w:val="24"/>
        </w:rPr>
        <w:t xml:space="preserve"> of the company to carry out works, sign contracts, relevant legal documents, and carry out the procedures to complete</w:t>
      </w:r>
      <w:r w:rsidR="009F063E" w:rsidRPr="009F063E">
        <w:rPr>
          <w:rFonts w:ascii="Times New Roman" w:hAnsi="Times New Roman"/>
          <w:sz w:val="24"/>
          <w:szCs w:val="24"/>
        </w:rPr>
        <w:t xml:space="preserve"> the private offering of shares; </w:t>
      </w:r>
      <w:r w:rsidR="009F063E" w:rsidRPr="009F063E">
        <w:rPr>
          <w:rFonts w:ascii="Times New Roman" w:hAnsi="Times New Roman"/>
          <w:sz w:val="24"/>
          <w:szCs w:val="24"/>
        </w:rPr>
        <w:t>ensuring compliance with the Resolution</w:t>
      </w:r>
      <w:r w:rsidR="009F063E" w:rsidRPr="009F063E">
        <w:rPr>
          <w:rFonts w:ascii="Times New Roman" w:hAnsi="Times New Roman"/>
          <w:sz w:val="24"/>
          <w:szCs w:val="24"/>
        </w:rPr>
        <w:t xml:space="preserve"> No.02/2019/NQ-VITC-DHDCD dated 04 November </w:t>
      </w:r>
      <w:r w:rsidR="009F063E" w:rsidRPr="009F063E">
        <w:rPr>
          <w:rFonts w:ascii="Times New Roman" w:hAnsi="Times New Roman"/>
          <w:sz w:val="24"/>
          <w:szCs w:val="24"/>
        </w:rPr>
        <w:lastRenderedPageBreak/>
        <w:t>2019 and Resolution No.01/2020/NQ-VITC-DHDCD dated 30 March 2020</w:t>
      </w:r>
      <w:r w:rsidR="009F063E" w:rsidRPr="009F063E">
        <w:rPr>
          <w:rFonts w:ascii="Times New Roman" w:hAnsi="Times New Roman"/>
          <w:sz w:val="24"/>
          <w:szCs w:val="24"/>
        </w:rPr>
        <w:t xml:space="preserve"> of the Annual </w:t>
      </w:r>
      <w:r w:rsidR="009F063E" w:rsidRPr="009F063E">
        <w:rPr>
          <w:rFonts w:ascii="Times New Roman" w:hAnsi="Times New Roman"/>
          <w:sz w:val="24"/>
          <w:szCs w:val="24"/>
        </w:rPr>
        <w:t>General Meeting of Shareholders</w:t>
      </w:r>
      <w:r w:rsidR="009F063E" w:rsidRPr="009F063E">
        <w:rPr>
          <w:rFonts w:ascii="Times New Roman" w:hAnsi="Times New Roman"/>
          <w:sz w:val="24"/>
          <w:szCs w:val="24"/>
        </w:rPr>
        <w:t xml:space="preserve"> and current legal regulations.</w:t>
      </w:r>
      <w:proofErr w:type="gramEnd"/>
    </w:p>
    <w:p w:rsidR="00FE1BAF" w:rsidRPr="005F138D" w:rsidRDefault="004D4BD6" w:rsidP="00FE1BAF">
      <w:pPr>
        <w:rPr>
          <w:rFonts w:ascii="Times New Roman" w:hAnsi="Times New Roman"/>
          <w:sz w:val="24"/>
          <w:szCs w:val="24"/>
        </w:rPr>
      </w:pPr>
      <w:r>
        <w:rPr>
          <w:rFonts w:ascii="Times New Roman" w:hAnsi="Times New Roman"/>
          <w:sz w:val="24"/>
          <w:szCs w:val="24"/>
        </w:rPr>
        <w:t>Article 8</w:t>
      </w:r>
      <w:r w:rsidR="00FE1BAF" w:rsidRPr="005F138D">
        <w:rPr>
          <w:rFonts w:ascii="Times New Roman" w:hAnsi="Times New Roman"/>
          <w:sz w:val="24"/>
          <w:szCs w:val="24"/>
        </w:rPr>
        <w:t>: Implementation</w:t>
      </w:r>
    </w:p>
    <w:p w:rsidR="00FE1BAF" w:rsidRDefault="004D4BD6" w:rsidP="00FE1BAF">
      <w:pPr>
        <w:rPr>
          <w:rFonts w:ascii="Times New Roman" w:hAnsi="Times New Roman"/>
          <w:sz w:val="24"/>
          <w:szCs w:val="24"/>
        </w:rPr>
      </w:pPr>
      <w:r>
        <w:rPr>
          <w:rFonts w:ascii="Times New Roman" w:hAnsi="Times New Roman"/>
          <w:sz w:val="24"/>
          <w:szCs w:val="24"/>
        </w:rPr>
        <w:t xml:space="preserve">- </w:t>
      </w:r>
      <w:r w:rsidR="00FE1BAF" w:rsidRPr="005F138D">
        <w:rPr>
          <w:rFonts w:ascii="Times New Roman" w:hAnsi="Times New Roman"/>
          <w:sz w:val="24"/>
          <w:szCs w:val="24"/>
        </w:rPr>
        <w:t>Board of Directors, Board of Supervisors and Board of Managers of the Company is responsible for implementing this Board Resolution</w:t>
      </w:r>
      <w:r>
        <w:rPr>
          <w:rFonts w:ascii="Times New Roman" w:hAnsi="Times New Roman"/>
          <w:sz w:val="24"/>
          <w:szCs w:val="24"/>
        </w:rPr>
        <w:t>.</w:t>
      </w:r>
    </w:p>
    <w:p w:rsidR="004D4BD6" w:rsidRPr="005F138D" w:rsidRDefault="004D4BD6" w:rsidP="00FE1BAF">
      <w:pPr>
        <w:rPr>
          <w:rFonts w:ascii="Times New Roman" w:hAnsi="Times New Roman"/>
          <w:sz w:val="24"/>
          <w:szCs w:val="24"/>
        </w:rPr>
      </w:pPr>
      <w:r>
        <w:rPr>
          <w:rFonts w:ascii="Times New Roman" w:hAnsi="Times New Roman"/>
          <w:sz w:val="24"/>
          <w:szCs w:val="24"/>
        </w:rPr>
        <w:t xml:space="preserve">- </w:t>
      </w:r>
      <w:r w:rsidRPr="005F138D">
        <w:rPr>
          <w:rFonts w:ascii="Times New Roman" w:hAnsi="Times New Roman"/>
          <w:sz w:val="24"/>
          <w:szCs w:val="24"/>
        </w:rPr>
        <w:t>This Board Resolution is valid from the approval date.</w:t>
      </w:r>
    </w:p>
    <w:sectPr w:rsidR="004D4BD6" w:rsidRPr="005F1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Con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84552"/>
    <w:multiLevelType w:val="hybridMultilevel"/>
    <w:tmpl w:val="3BCEC974"/>
    <w:lvl w:ilvl="0" w:tplc="EC9E06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3E"/>
    <w:rsid w:val="004D4BD6"/>
    <w:rsid w:val="005F138D"/>
    <w:rsid w:val="007C390C"/>
    <w:rsid w:val="007D72C5"/>
    <w:rsid w:val="00862E59"/>
    <w:rsid w:val="00994FFE"/>
    <w:rsid w:val="009F063E"/>
    <w:rsid w:val="00AE4176"/>
    <w:rsid w:val="00E57AE6"/>
    <w:rsid w:val="00F6593E"/>
    <w:rsid w:val="00FE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3D6A"/>
  <w15:chartTrackingRefBased/>
  <w15:docId w15:val="{EF9971DD-C5BB-48FD-9D66-E07E40E8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3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2</cp:revision>
  <dcterms:created xsi:type="dcterms:W3CDTF">2020-10-19T09:28:00Z</dcterms:created>
  <dcterms:modified xsi:type="dcterms:W3CDTF">2020-10-19T09:28:00Z</dcterms:modified>
</cp:coreProperties>
</file>